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7" w:lineRule="exact"/>
        <w:rPr>
          <w:sz w:val="24"/>
          <w:szCs w:val="24"/>
          <w:color w:val="auto"/>
        </w:rPr>
      </w:pPr>
    </w:p>
    <w:p>
      <w:pPr>
        <w:ind w:left="640" w:hanging="601"/>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04"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quarterly period ended September 30, 2026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58" w:lineRule="exact"/>
        <w:rPr>
          <w:sz w:val="24"/>
          <w:szCs w:val="24"/>
          <w:color w:val="auto"/>
        </w:rPr>
      </w:pPr>
    </w:p>
    <w:p>
      <w:pPr>
        <w:ind w:left="640" w:hanging="587"/>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90"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680" w:type="dxa"/>
            <w:vAlign w:val="bottom"/>
            <w:tcBorders>
              <w:bottom w:val="single" w:sz="8" w:color="auto"/>
            </w:tcBorders>
          </w:tcPr>
          <w:p>
            <w:pPr>
              <w:spacing w:after="0"/>
              <w:rPr>
                <w:sz w:val="17"/>
                <w:szCs w:val="17"/>
                <w:color w:val="auto"/>
              </w:rPr>
            </w:pPr>
          </w:p>
        </w:tc>
        <w:tc>
          <w:tcPr>
            <w:tcW w:w="22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79"/>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Commission File Number: 1-12273</w:t>
            </w:r>
          </w:p>
        </w:tc>
        <w:tc>
          <w:tcPr>
            <w:tcW w:w="2640" w:type="dxa"/>
            <w:vAlign w:val="bottom"/>
          </w:tcPr>
          <w:p>
            <w:pPr>
              <w:spacing w:after="0"/>
              <w:rPr>
                <w:sz w:val="24"/>
                <w:szCs w:val="24"/>
                <w:color w:val="auto"/>
              </w:rPr>
            </w:pPr>
          </w:p>
        </w:tc>
      </w:tr>
      <w:tr>
        <w:trPr>
          <w:trHeight w:val="360"/>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ROPER TECHNOLOGIES, INC.</w:t>
            </w:r>
          </w:p>
        </w:tc>
        <w:tc>
          <w:tcPr>
            <w:tcW w:w="264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80" w:type="dxa"/>
            <w:vAlign w:val="bottom"/>
            <w:gridSpan w:val="5"/>
          </w:tcPr>
          <w:p>
            <w:pPr>
              <w:jc w:val="center"/>
              <w:ind w:right="18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513"/>
        </w:trPr>
        <w:tc>
          <w:tcPr>
            <w:tcW w:w="2820" w:type="dxa"/>
            <w:vAlign w:val="bottom"/>
            <w:gridSpan w:val="2"/>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51-0263969</w:t>
            </w:r>
          </w:p>
        </w:tc>
      </w:tr>
      <w:tr>
        <w:trPr>
          <w:trHeight w:val="243"/>
        </w:trPr>
        <w:tc>
          <w:tcPr>
            <w:tcW w:w="6160" w:type="dxa"/>
            <w:vAlign w:val="bottom"/>
            <w:gridSpan w:val="6"/>
          </w:tcPr>
          <w:p>
            <w:pPr>
              <w:jc w:val="center"/>
              <w:ind w:right="18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2"/>
        </w:trPr>
        <w:tc>
          <w:tcPr>
            <w:tcW w:w="6160" w:type="dxa"/>
            <w:vAlign w:val="bottom"/>
            <w:gridSpan w:val="6"/>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6496 University Parkway</w:t>
            </w:r>
          </w:p>
        </w:tc>
        <w:tc>
          <w:tcPr>
            <w:tcW w:w="2640" w:type="dxa"/>
            <w:vAlign w:val="bottom"/>
          </w:tcPr>
          <w:p>
            <w:pPr>
              <w:spacing w:after="0"/>
              <w:rPr>
                <w:sz w:val="24"/>
                <w:szCs w:val="24"/>
                <w:color w:val="auto"/>
              </w:rPr>
            </w:pPr>
          </w:p>
        </w:tc>
      </w:tr>
      <w:tr>
        <w:trPr>
          <w:trHeight w:val="243"/>
        </w:trPr>
        <w:tc>
          <w:tcPr>
            <w:tcW w:w="28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Sarasota, Florida</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6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34240</w:t>
            </w:r>
          </w:p>
        </w:tc>
      </w:tr>
      <w:tr>
        <w:trPr>
          <w:trHeight w:val="243"/>
        </w:trPr>
        <w:tc>
          <w:tcPr>
            <w:tcW w:w="6160" w:type="dxa"/>
            <w:vAlign w:val="bottom"/>
            <w:gridSpan w:val="6"/>
          </w:tcPr>
          <w:p>
            <w:pPr>
              <w:jc w:val="center"/>
              <w:ind w:right="18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279"/>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40" w:type="dxa"/>
            <w:vAlign w:val="bottom"/>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(941) 556-2601</w:t>
            </w:r>
          </w:p>
        </w:tc>
        <w:tc>
          <w:tcPr>
            <w:tcW w:w="264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80" w:type="dxa"/>
            <w:vAlign w:val="bottom"/>
            <w:gridSpan w:val="5"/>
          </w:tcPr>
          <w:p>
            <w:pPr>
              <w:jc w:val="center"/>
              <w:ind w:right="18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8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4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ROP</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 w:hanging="192"/>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95" w:right="339" w:bottom="1440" w:gutter="0" w:footer="0" w:header="0"/>
        </w:sectPr>
      </w:pPr>
    </w:p>
    <w:p>
      <w:pPr>
        <w:spacing w:after="0" w:line="81"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155" w:lineRule="exact"/>
        <w:rPr>
          <w:sz w:val="24"/>
          <w:szCs w:val="24"/>
          <w:color w:val="auto"/>
        </w:rPr>
      </w:pPr>
    </w:p>
    <w:p>
      <w:pPr>
        <w:sectPr>
          <w:pgSz w:w="11900" w:h="16838" w:orient="portrait"/>
          <w:cols w:equalWidth="0" w:num="4">
            <w:col w:w="180" w:space="120"/>
            <w:col w:w="5600" w:space="720"/>
            <w:col w:w="160" w:space="180"/>
            <w:col w:w="4280"/>
          </w:cols>
          <w:pgMar w:left="320" w:top="995" w:right="339" w:bottom="1440" w:gutter="0" w:footer="0" w:header="0"/>
          <w:type w:val="continuous"/>
        </w:sect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155" w:lineRule="exact"/>
        <w:rPr>
          <w:sz w:val="24"/>
          <w:szCs w:val="24"/>
          <w:color w:val="auto"/>
        </w:rPr>
      </w:pPr>
    </w:p>
    <w:p>
      <w:pPr>
        <w:sectPr>
          <w:pgSz w:w="11900" w:h="16838" w:orient="portrait"/>
          <w:cols w:equalWidth="0" w:num="4">
            <w:col w:w="180" w:space="120"/>
            <w:col w:w="5600" w:space="720"/>
            <w:col w:w="160" w:space="180"/>
            <w:col w:w="4280"/>
          </w:cols>
          <w:pgMar w:left="320" w:top="995" w:right="339" w:bottom="1440" w:gutter="0" w:footer="0" w:header="0"/>
          <w:type w:val="continuous"/>
        </w:sectPr>
      </w:pPr>
    </w:p>
    <w:p>
      <w:pPr>
        <w:ind w:left="66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0" w:lineRule="exact"/>
        <w:rPr>
          <w:sz w:val="24"/>
          <w:szCs w:val="24"/>
          <w:color w:val="auto"/>
        </w:rPr>
      </w:pPr>
    </w:p>
    <w:p>
      <w:pPr>
        <w:sectPr>
          <w:pgSz w:w="11900" w:h="16838" w:orient="portrait"/>
          <w:cols w:equalWidth="0" w:num="2">
            <w:col w:w="6780" w:space="180"/>
            <w:col w:w="4280"/>
          </w:cols>
          <w:pgMar w:left="320" w:top="995" w:right="339" w:bottom="1440" w:gutter="0" w:footer="0" w:header="0"/>
          <w:type w:val="continuous"/>
        </w:sectPr>
      </w:pPr>
    </w:p>
    <w:p>
      <w:pPr>
        <w:spacing w:after="0" w:line="2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right="198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The number of shares outstanding of the registrant’s common stock as of October 28, 2026 was 99,036,429.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tc>
        <w:tc>
          <w:tcPr>
            <w:tcW w:w="840" w:type="dxa"/>
            <w:vAlign w:val="bottom"/>
          </w:tcPr>
          <w:p>
            <w:pPr>
              <w:spacing w:after="0"/>
              <w:rPr>
                <w:sz w:val="20"/>
                <w:szCs w:val="20"/>
                <w:color w:val="auto"/>
              </w:rPr>
            </w:pPr>
          </w:p>
        </w:tc>
      </w:tr>
      <w:tr>
        <w:trPr>
          <w:trHeight w:val="459"/>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REPORT ON FORM 10-Q FOR THE QUARTERLY PERIOD ENDED SEPTEMBER 30, 2026</w:t>
            </w:r>
          </w:p>
        </w:tc>
        <w:tc>
          <w:tcPr>
            <w:tcW w:w="840" w:type="dxa"/>
            <w:vAlign w:val="bottom"/>
          </w:tcPr>
          <w:p>
            <w:pPr>
              <w:spacing w:after="0"/>
              <w:rPr>
                <w:sz w:val="24"/>
                <w:szCs w:val="24"/>
                <w:color w:val="auto"/>
              </w:rPr>
            </w:pPr>
          </w:p>
        </w:tc>
      </w:tr>
      <w:tr>
        <w:trPr>
          <w:trHeight w:val="459"/>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40" w:type="dxa"/>
            <w:vAlign w:val="bottom"/>
          </w:tcPr>
          <w:p>
            <w:pPr>
              <w:spacing w:after="0"/>
              <w:rPr>
                <w:sz w:val="24"/>
                <w:szCs w:val="24"/>
                <w:color w:val="auto"/>
              </w:rPr>
            </w:pPr>
          </w:p>
        </w:tc>
      </w:tr>
      <w:tr>
        <w:trPr>
          <w:trHeight w:val="277"/>
        </w:trPr>
        <w:tc>
          <w:tcPr>
            <w:tcW w:w="88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840" w:type="dxa"/>
            <w:vAlign w:val="bottom"/>
          </w:tcPr>
          <w:p>
            <w:pPr>
              <w:spacing w:after="0"/>
              <w:rPr>
                <w:sz w:val="19"/>
                <w:szCs w:val="19"/>
                <w:color w:val="auto"/>
              </w:rPr>
            </w:pPr>
          </w:p>
        </w:tc>
      </w:tr>
      <w:tr>
        <w:trPr>
          <w:trHeight w:val="50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40" w:type="dxa"/>
            <w:vAlign w:val="bottom"/>
          </w:tcPr>
          <w:p>
            <w:pPr>
              <w:spacing w:after="0"/>
              <w:rPr>
                <w:sz w:val="24"/>
                <w:szCs w:val="24"/>
                <w:color w:val="auto"/>
              </w:rPr>
            </w:pPr>
          </w:p>
        </w:tc>
      </w:tr>
      <w:tr>
        <w:trPr>
          <w:trHeight w:val="499"/>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Earnings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499"/>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500"/>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499"/>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499"/>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500"/>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49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w:t>
            </w:r>
          </w:p>
        </w:tc>
      </w:tr>
      <w:tr>
        <w:trPr>
          <w:trHeight w:val="50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3.</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50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4.</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50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840" w:type="dxa"/>
            <w:vAlign w:val="bottom"/>
          </w:tcPr>
          <w:p>
            <w:pPr>
              <w:spacing w:after="0"/>
              <w:rPr>
                <w:sz w:val="24"/>
                <w:szCs w:val="24"/>
                <w:color w:val="auto"/>
              </w:rPr>
            </w:pPr>
          </w:p>
        </w:tc>
      </w:tr>
      <w:tr>
        <w:trPr>
          <w:trHeight w:val="49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Legal Proceedings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50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1A.</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50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49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5.</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Other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50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6.</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Exhibits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500"/>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7"/>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(unaudited)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(Amounts in millions, except per share data)</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7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7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7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39"/>
        </w:trPr>
        <w:tc>
          <w:tcPr>
            <w:tcW w:w="760" w:type="dxa"/>
            <w:vAlign w:val="bottom"/>
            <w:tcBorders>
              <w:bottom w:val="single" w:sz="8" w:color="CCEEFF"/>
            </w:tcBorders>
          </w:tcPr>
          <w:p>
            <w:pPr>
              <w:spacing w:after="0"/>
              <w:rPr>
                <w:sz w:val="20"/>
                <w:szCs w:val="20"/>
                <w:color w:val="auto"/>
              </w:rPr>
            </w:pPr>
          </w:p>
        </w:tc>
        <w:tc>
          <w:tcPr>
            <w:tcW w:w="4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5,843.9</w:t>
            </w:r>
          </w:p>
        </w:tc>
      </w:tr>
      <w:tr>
        <w:trPr>
          <w:trHeight w:val="243"/>
        </w:trPr>
        <w:tc>
          <w:tcPr>
            <w:tcW w:w="4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1,929.4</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1,801.8</w:t>
            </w:r>
          </w:p>
        </w:tc>
      </w:tr>
      <w:tr>
        <w:trPr>
          <w:trHeight w:val="237"/>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4,042.1</w:t>
            </w:r>
          </w:p>
        </w:tc>
      </w:tr>
      <w:tr>
        <w:trPr>
          <w:trHeight w:val="216"/>
        </w:trPr>
        <w:tc>
          <w:tcPr>
            <w:tcW w:w="49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2,669.1</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2,395.0</w:t>
            </w:r>
          </w:p>
        </w:tc>
      </w:tr>
      <w:tr>
        <w:trPr>
          <w:trHeight w:val="237"/>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1,647.1</w:t>
            </w:r>
          </w:p>
        </w:tc>
      </w:tr>
      <w:tr>
        <w:trPr>
          <w:trHeight w:val="216"/>
        </w:trPr>
        <w:tc>
          <w:tcPr>
            <w:tcW w:w="49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r>
      <w:tr>
        <w:trPr>
          <w:trHeight w:val="243"/>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 (gain) loss, net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43"/>
        </w:trPr>
        <w:tc>
          <w:tcPr>
            <w:tcW w:w="4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1,401.5</w:t>
            </w:r>
          </w:p>
        </w:tc>
      </w:tr>
      <w:tr>
        <w:trPr>
          <w:trHeight w:val="216"/>
        </w:trPr>
        <w:tc>
          <w:tcPr>
            <w:tcW w:w="49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r>
      <w:tr>
        <w:trPr>
          <w:trHeight w:val="237"/>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2,162.1</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1,107.9</w:t>
            </w:r>
          </w:p>
        </w:tc>
      </w:tr>
      <w:tr>
        <w:trPr>
          <w:trHeight w:val="20"/>
        </w:trPr>
        <w:tc>
          <w:tcPr>
            <w:tcW w:w="76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760" w:type="dxa"/>
            <w:vAlign w:val="bottom"/>
            <w:shd w:val="clear" w:color="auto" w:fill="CCEEFF"/>
          </w:tcPr>
          <w:p>
            <w:pPr>
              <w:spacing w:after="0"/>
              <w:rPr>
                <w:sz w:val="15"/>
                <w:szCs w:val="15"/>
                <w:color w:val="auto"/>
              </w:rPr>
            </w:pPr>
          </w:p>
        </w:tc>
        <w:tc>
          <w:tcPr>
            <w:tcW w:w="4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43"/>
        </w:trPr>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2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16"/>
        </w:trPr>
        <w:tc>
          <w:tcPr>
            <w:tcW w:w="49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43"/>
        </w:trPr>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5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9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39"/>
        </w:trPr>
        <w:tc>
          <w:tcPr>
            <w:tcW w:w="49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1,107.9</w:t>
            </w:r>
          </w:p>
        </w:tc>
      </w:tr>
      <w:tr>
        <w:trPr>
          <w:trHeight w:val="270"/>
        </w:trPr>
        <w:tc>
          <w:tcPr>
            <w:tcW w:w="4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3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70"/>
        </w:trPr>
        <w:tc>
          <w:tcPr>
            <w:tcW w:w="498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62"/>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48"/>
        </w:trPr>
        <w:tc>
          <w:tcPr>
            <w:tcW w:w="8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w:t>
            </w:r>
          </w:p>
        </w:tc>
      </w:tr>
      <w:tr>
        <w:trPr>
          <w:trHeight w:val="22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1,001.0</w:t>
            </w:r>
          </w:p>
        </w:tc>
      </w:tr>
      <w:tr>
        <w:trPr>
          <w:trHeight w:val="23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 net</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r>
      <w:tr>
        <w:trPr>
          <w:trHeight w:val="22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r>
      <w:tr>
        <w:trPr>
          <w:trHeight w:val="23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r>
      <w:tr>
        <w:trPr>
          <w:trHeight w:val="227"/>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w:t>
            </w:r>
          </w:p>
        </w:tc>
      </w:tr>
      <w:tr>
        <w:trPr>
          <w:trHeight w:val="226"/>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1,928.1</w:t>
            </w:r>
          </w:p>
        </w:tc>
      </w:tr>
      <w:tr>
        <w:trPr>
          <w:trHeight w:val="148"/>
        </w:trPr>
        <w:tc>
          <w:tcPr>
            <w:tcW w:w="8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21,341.2</w:t>
            </w:r>
          </w:p>
        </w:tc>
      </w:tr>
      <w:tr>
        <w:trPr>
          <w:trHeight w:val="23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9,764.2</w:t>
            </w:r>
          </w:p>
        </w:tc>
      </w:tr>
      <w:tr>
        <w:trPr>
          <w:trHeight w:val="22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r>
      <w:tr>
        <w:trPr>
          <w:trHeight w:val="23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investment</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796.3</w:t>
            </w:r>
          </w:p>
        </w:tc>
      </w:tr>
      <w:tr>
        <w:trPr>
          <w:trHeight w:val="227"/>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517.0</w:t>
            </w:r>
          </w:p>
        </w:tc>
      </w:tr>
      <w:tr>
        <w:trPr>
          <w:trHeight w:val="248"/>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34,577.0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98"/>
        </w:trPr>
        <w:tc>
          <w:tcPr>
            <w:tcW w:w="8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148"/>
        </w:trPr>
        <w:tc>
          <w:tcPr>
            <w:tcW w:w="8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compensation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w:t>
            </w:r>
          </w:p>
        </w:tc>
      </w:tr>
      <w:tr>
        <w:trPr>
          <w:trHeight w:val="23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1,906.8</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642.3</w:t>
            </w:r>
          </w:p>
        </w:tc>
      </w:tr>
      <w:tr>
        <w:trPr>
          <w:trHeight w:val="23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27"/>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705.2</w:t>
            </w:r>
          </w:p>
        </w:tc>
      </w:tr>
      <w:tr>
        <w:trPr>
          <w:trHeight w:val="226"/>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3,725.6</w:t>
            </w:r>
          </w:p>
        </w:tc>
      </w:tr>
      <w:tr>
        <w:trPr>
          <w:trHeight w:val="149"/>
        </w:trPr>
        <w:tc>
          <w:tcPr>
            <w:tcW w:w="8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8,595.8</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1,883.1</w:t>
            </w:r>
          </w:p>
        </w:tc>
      </w:tr>
      <w:tr>
        <w:trPr>
          <w:trHeight w:val="23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491.0</w:t>
            </w:r>
          </w:p>
        </w:tc>
      </w:tr>
      <w:tr>
        <w:trPr>
          <w:trHeight w:val="220"/>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14,695.5</w:t>
            </w:r>
          </w:p>
        </w:tc>
      </w:tr>
      <w:tr>
        <w:trPr>
          <w:trHeight w:val="152"/>
        </w:trPr>
        <w:tc>
          <w:tcPr>
            <w:tcW w:w="8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bl>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93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194" w:lineRule="exact"/>
        <w:rPr>
          <w:sz w:val="20"/>
          <w:szCs w:val="20"/>
          <w:color w:val="auto"/>
        </w:rPr>
      </w:pPr>
    </w:p>
    <w:p>
      <w:pPr>
        <w:ind w:left="20" w:right="320"/>
        <w:spacing w:after="0" w:line="245" w:lineRule="auto"/>
        <w:rPr>
          <w:sz w:val="20"/>
          <w:szCs w:val="20"/>
          <w:color w:val="auto"/>
        </w:rPr>
      </w:pPr>
      <w:r>
        <w:rPr>
          <w:rFonts w:ascii="Times New Roman" w:cs="Times New Roman" w:eastAsia="Times New Roman" w:hAnsi="Times New Roman"/>
          <w:sz w:val="16"/>
          <w:szCs w:val="16"/>
          <w:color w:val="auto"/>
        </w:rPr>
        <w:t>Common stock, 350.0 shares authorized; 109.5 shares issued and 99.0 outstanding at September 30, 2026 and 109.3 shares issued and 106.6 outstanding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Treasury stock, 10.5 shares at September 30, 2026 and 2.7 shares at December 31, 2025</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360"/>
        <w:spacing w:after="0"/>
        <w:tabs>
          <w:tab w:leader="none" w:pos="19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1.1</w:t>
      </w:r>
    </w:p>
    <w:p>
      <w:pPr>
        <w:spacing w:after="0" w:line="127"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16"/>
          <w:szCs w:val="16"/>
          <w:color w:val="auto"/>
        </w:rPr>
        <w:t>3,473.3</w:t>
      </w:r>
      <w:r>
        <w:rPr>
          <w:sz w:val="20"/>
          <w:szCs w:val="20"/>
          <w:color w:val="auto"/>
        </w:rPr>
        <w:tab/>
      </w:r>
      <w:r>
        <w:rPr>
          <w:rFonts w:ascii="Times New Roman" w:cs="Times New Roman" w:eastAsia="Times New Roman" w:hAnsi="Times New Roman"/>
          <w:sz w:val="16"/>
          <w:szCs w:val="16"/>
          <w:color w:val="auto"/>
        </w:rPr>
        <w:t>3,292.2</w:t>
      </w:r>
    </w:p>
    <w:p>
      <w:pPr>
        <w:spacing w:after="0" w:line="4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6"/>
          <w:szCs w:val="16"/>
          <w:color w:val="auto"/>
        </w:rPr>
        <w:t>19,091.2</w:t>
      </w:r>
      <w:r>
        <w:rPr>
          <w:sz w:val="20"/>
          <w:szCs w:val="20"/>
          <w:color w:val="auto"/>
        </w:rPr>
        <w:tab/>
      </w:r>
      <w:r>
        <w:rPr>
          <w:rFonts w:ascii="Times New Roman" w:cs="Times New Roman" w:eastAsia="Times New Roman" w:hAnsi="Times New Roman"/>
          <w:sz w:val="16"/>
          <w:szCs w:val="16"/>
          <w:color w:val="auto"/>
        </w:rPr>
        <w:t>17,205.7</w:t>
      </w:r>
    </w:p>
    <w:p>
      <w:pPr>
        <w:spacing w:after="0" w:line="46" w:lineRule="exact"/>
        <w:rPr>
          <w:sz w:val="20"/>
          <w:szCs w:val="20"/>
          <w:color w:val="auto"/>
        </w:rPr>
      </w:pPr>
    </w:p>
    <w:p>
      <w:pPr>
        <w:ind w:left="120"/>
        <w:spacing w:after="0"/>
        <w:tabs>
          <w:tab w:leader="none" w:pos="1700" w:val="left"/>
        </w:tabs>
        <w:rPr>
          <w:sz w:val="20"/>
          <w:szCs w:val="20"/>
          <w:color w:val="auto"/>
        </w:rPr>
      </w:pPr>
      <w:r>
        <w:rPr>
          <w:rFonts w:ascii="Times New Roman" w:cs="Times New Roman" w:eastAsia="Times New Roman" w:hAnsi="Times New Roman"/>
          <w:sz w:val="16"/>
          <w:szCs w:val="16"/>
          <w:color w:val="auto"/>
        </w:rPr>
        <w:t>(138.2)</w:t>
      </w:r>
      <w:r>
        <w:rPr>
          <w:sz w:val="20"/>
          <w:szCs w:val="20"/>
          <w:color w:val="auto"/>
        </w:rPr>
        <w:tab/>
      </w:r>
      <w:r>
        <w:rPr>
          <w:rFonts w:ascii="Times New Roman" w:cs="Times New Roman" w:eastAsia="Times New Roman" w:hAnsi="Times New Roman"/>
          <w:sz w:val="16"/>
          <w:szCs w:val="16"/>
          <w:color w:val="auto"/>
        </w:rPr>
        <w:t>(101.4)</w:t>
      </w:r>
    </w:p>
    <w:p>
      <w:pPr>
        <w:spacing w:after="0" w:line="46"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6"/>
          <w:szCs w:val="16"/>
          <w:color w:val="auto"/>
        </w:rPr>
        <w:t>(3,254.8)</w:t>
      </w:r>
      <w:r>
        <w:rPr>
          <w:sz w:val="20"/>
          <w:szCs w:val="20"/>
          <w:color w:val="auto"/>
        </w:rPr>
        <w:tab/>
      </w:r>
      <w:r>
        <w:rPr>
          <w:rFonts w:ascii="Times New Roman" w:cs="Times New Roman" w:eastAsia="Times New Roman" w:hAnsi="Times New Roman"/>
          <w:sz w:val="16"/>
          <w:szCs w:val="16"/>
          <w:color w:val="auto"/>
        </w:rPr>
        <w:t>(516.1)</w:t>
      </w:r>
    </w:p>
    <w:p>
      <w:pPr>
        <w:spacing w:after="0" w:line="26" w:lineRule="exact"/>
        <w:rPr>
          <w:sz w:val="20"/>
          <w:szCs w:val="20"/>
          <w:color w:val="auto"/>
        </w:rPr>
      </w:pPr>
    </w:p>
    <w:p>
      <w:pPr>
        <w:sectPr>
          <w:pgSz w:w="11900" w:h="16838" w:orient="portrait"/>
          <w:cols w:equalWidth="0" w:num="2">
            <w:col w:w="8300" w:space="720"/>
            <w:col w:w="222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1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19,172.6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19,881.5</w:t>
            </w:r>
          </w:p>
        </w:tc>
      </w:tr>
      <w:tr>
        <w:trPr>
          <w:trHeight w:val="220"/>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34,338.3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34,577.0</w:t>
            </w:r>
          </w:p>
        </w:tc>
      </w:tr>
      <w:tr>
        <w:trPr>
          <w:trHeight w:val="24"/>
        </w:trPr>
        <w:tc>
          <w:tcPr>
            <w:tcW w:w="8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Roper Technologies,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in millions)</w:t>
      </w:r>
    </w:p>
    <w:p>
      <w:pPr>
        <w:spacing w:after="0" w:line="47"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1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8890</wp:posOffset>
            </wp:positionV>
            <wp:extent cx="19627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7"/>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2,162.1</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1,107.9</w:t>
            </w:r>
          </w:p>
        </w:tc>
      </w:tr>
      <w:tr>
        <w:trPr>
          <w:trHeight w:val="23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earnings to cash flows from operating activities: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7"/>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of property, plant and equipment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33"/>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638.0</w:t>
            </w:r>
          </w:p>
        </w:tc>
      </w:tr>
      <w:tr>
        <w:trPr>
          <w:trHeight w:val="227"/>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33"/>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w:t>
            </w:r>
          </w:p>
        </w:tc>
      </w:tr>
      <w:tr>
        <w:trPr>
          <w:trHeight w:val="227"/>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investment (gain) loss,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32"/>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provision</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r>
      <w:tr>
        <w:trPr>
          <w:trHeight w:val="227"/>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acquired businesses: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3"/>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27"/>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Unbilled receivables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32"/>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27"/>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33"/>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26"/>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33"/>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27"/>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taxes paid for gain on disposal of equity investment</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32"/>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income taxes paid, excluding tax associated with gain on disposal of equity investment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r>
      <w:tr>
        <w:trPr>
          <w:trHeight w:val="227"/>
        </w:trPr>
        <w:tc>
          <w:tcPr>
            <w:tcW w:w="8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26"/>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1,802.3</w:t>
            </w:r>
          </w:p>
        </w:tc>
      </w:tr>
      <w:tr>
        <w:trPr>
          <w:trHeight w:val="149"/>
        </w:trPr>
        <w:tc>
          <w:tcPr>
            <w:tcW w:w="8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6"/>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(3,280.4)</w:t>
            </w:r>
          </w:p>
        </w:tc>
      </w:tr>
      <w:tr>
        <w:trPr>
          <w:trHeight w:val="23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26"/>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software expenditures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3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from equity investment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26"/>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Indicor transaction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receipts on beneficial interest in sold receivables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26"/>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Cash provided by (used in) investing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(3,354.0)</w:t>
            </w:r>
          </w:p>
        </w:tc>
      </w:tr>
      <w:tr>
        <w:trPr>
          <w:trHeight w:val="148"/>
        </w:trPr>
        <w:tc>
          <w:tcPr>
            <w:tcW w:w="8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6"/>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senior notes</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r>
      <w:tr>
        <w:trPr>
          <w:trHeight w:val="23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senior notes</w:t>
            </w: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r>
      <w:tr>
        <w:trPr>
          <w:trHeight w:val="226"/>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under revolving credit facility,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585.0</w:t>
            </w:r>
          </w:p>
        </w:tc>
      </w:tr>
      <w:tr>
        <w:trPr>
          <w:trHeight w:val="23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27"/>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dividends to stockholders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r>
      <w:tr>
        <w:trPr>
          <w:trHeight w:val="23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stock-based compensation,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r>
      <w:tr>
        <w:trPr>
          <w:trHeight w:val="23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sales under employee stock purchase plan (“ESPP”)</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26"/>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26"/>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provided by (used in) financing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1,654.3</w:t>
            </w:r>
          </w:p>
        </w:tc>
      </w:tr>
      <w:tr>
        <w:trPr>
          <w:trHeight w:val="149"/>
        </w:trPr>
        <w:tc>
          <w:tcPr>
            <w:tcW w:w="8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148"/>
        </w:trPr>
        <w:tc>
          <w:tcPr>
            <w:tcW w:w="8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r>
      <w:tr>
        <w:trPr>
          <w:trHeight w:val="149"/>
        </w:trPr>
        <w:tc>
          <w:tcPr>
            <w:tcW w:w="8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r>
      <w:tr>
        <w:trPr>
          <w:trHeight w:val="149"/>
        </w:trPr>
        <w:tc>
          <w:tcPr>
            <w:tcW w:w="8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245"/>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98"/>
        </w:trPr>
        <w:tc>
          <w:tcPr>
            <w:tcW w:w="8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consideration for business acquisition</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bl>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893" w:right="339" w:bottom="1132"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132"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0" w:type="dxa"/>
            <w:vAlign w:val="bottom"/>
          </w:tcPr>
          <w:p>
            <w:pPr>
              <w:spacing w:after="0"/>
              <w:rPr>
                <w:sz w:val="14"/>
                <w:szCs w:val="14"/>
                <w:color w:val="auto"/>
              </w:rPr>
            </w:pPr>
          </w:p>
        </w:tc>
        <w:tc>
          <w:tcPr>
            <w:tcW w:w="112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62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2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25"/>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June 30, 2026</w:t>
            </w: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18,697.6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18,700.3</w:t>
            </w:r>
          </w:p>
        </w:tc>
        <w:tc>
          <w:tcPr>
            <w:tcW w:w="0" w:type="dxa"/>
            <w:vAlign w:val="bottom"/>
          </w:tcPr>
          <w:p>
            <w:pPr>
              <w:spacing w:after="0"/>
              <w:rPr>
                <w:sz w:val="1"/>
                <w:szCs w:val="1"/>
                <w:color w:val="auto"/>
              </w:rPr>
            </w:pP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4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484.7</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4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2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4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4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($0.91 per share)</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September 30, 2026</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19,091.2</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(3,254.8)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19,172.6</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6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December 31, 2025</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17,205.7</w:t>
            </w:r>
          </w:p>
        </w:tc>
        <w:tc>
          <w:tcPr>
            <w:tcW w:w="10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19,881.5</w:t>
            </w:r>
          </w:p>
        </w:tc>
        <w:tc>
          <w:tcPr>
            <w:tcW w:w="0" w:type="dxa"/>
            <w:vAlign w:val="bottom"/>
          </w:tcPr>
          <w:p>
            <w:pPr>
              <w:spacing w:after="0"/>
              <w:rPr>
                <w:sz w:val="1"/>
                <w:szCs w:val="1"/>
                <w:color w:val="auto"/>
              </w:rPr>
            </w:pPr>
          </w:p>
        </w:tc>
      </w:tr>
      <w:tr>
        <w:trPr>
          <w:trHeight w:val="232"/>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4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2,162.1</w:t>
            </w:r>
          </w:p>
        </w:tc>
        <w:tc>
          <w:tcPr>
            <w:tcW w:w="0" w:type="dxa"/>
            <w:vAlign w:val="bottom"/>
          </w:tcPr>
          <w:p>
            <w:pPr>
              <w:spacing w:after="0"/>
              <w:rPr>
                <w:sz w:val="1"/>
                <w:szCs w:val="1"/>
                <w:color w:val="auto"/>
              </w:rPr>
            </w:pP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4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sold under ESPP</w:t>
            </w:r>
          </w:p>
        </w:tc>
        <w:tc>
          <w:tcPr>
            <w:tcW w:w="4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Common stock repurchased </w:t>
            </w:r>
            <w:r>
              <w:rPr>
                <w:rFonts w:ascii="Times New Roman" w:cs="Times New Roman" w:eastAsia="Times New Roman" w:hAnsi="Times New Roman"/>
                <w:sz w:val="21"/>
                <w:szCs w:val="21"/>
                <w:color w:val="auto"/>
                <w:vertAlign w:val="superscript"/>
              </w:rPr>
              <w:t>(1)</w:t>
            </w:r>
          </w:p>
        </w:tc>
        <w:tc>
          <w:tcPr>
            <w:tcW w:w="4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(2,750.8)</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4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2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($2.73 per share)</w:t>
            </w:r>
          </w:p>
        </w:tc>
        <w:tc>
          <w:tcPr>
            <w:tcW w:w="4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2026</w:t>
            </w: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19,172.6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June 30, 2025</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19,633.9</w:t>
            </w:r>
          </w:p>
        </w:tc>
        <w:tc>
          <w:tcPr>
            <w:tcW w:w="0" w:type="dxa"/>
            <w:vAlign w:val="bottom"/>
          </w:tcPr>
          <w:p>
            <w:pPr>
              <w:spacing w:after="0"/>
              <w:rPr>
                <w:sz w:val="1"/>
                <w:szCs w:val="1"/>
                <w:color w:val="auto"/>
              </w:rPr>
            </w:pPr>
          </w:p>
        </w:tc>
      </w:tr>
      <w:tr>
        <w:trPr>
          <w:trHeight w:val="22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4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4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sold under ESPP</w:t>
            </w:r>
          </w:p>
        </w:tc>
        <w:tc>
          <w:tcPr>
            <w:tcW w:w="4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4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32"/>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4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($0.825 per share)</w:t>
            </w:r>
          </w:p>
        </w:tc>
        <w:tc>
          <w:tcPr>
            <w:tcW w:w="4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2025</w:t>
            </w: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19,992.8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3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2024</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18,867.6</w:t>
            </w:r>
          </w:p>
        </w:tc>
        <w:tc>
          <w:tcPr>
            <w:tcW w:w="0" w:type="dxa"/>
            <w:vAlign w:val="bottom"/>
          </w:tcPr>
          <w:p>
            <w:pPr>
              <w:spacing w:after="0"/>
              <w:rPr>
                <w:sz w:val="1"/>
                <w:szCs w:val="1"/>
                <w:color w:val="auto"/>
              </w:rPr>
            </w:pPr>
          </w:p>
        </w:tc>
      </w:tr>
      <w:tr>
        <w:trPr>
          <w:trHeight w:val="22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4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1,107.9</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4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2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sold under ESPP</w:t>
            </w:r>
          </w:p>
        </w:tc>
        <w:tc>
          <w:tcPr>
            <w:tcW w:w="4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consideration for business acquisition</w:t>
            </w:r>
          </w:p>
        </w:tc>
        <w:tc>
          <w:tcPr>
            <w:tcW w:w="4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4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0" w:type="dxa"/>
            <w:vAlign w:val="bottom"/>
          </w:tcPr>
          <w:p>
            <w:pPr>
              <w:spacing w:after="0"/>
              <w:rPr>
                <w:sz w:val="1"/>
                <w:szCs w:val="1"/>
                <w:color w:val="auto"/>
              </w:rPr>
            </w:pP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4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($2.475 per share)</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September 30, 2025</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3,242.7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16,875.0</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19,992.8</w:t>
            </w:r>
          </w:p>
        </w:tc>
        <w:tc>
          <w:tcPr>
            <w:tcW w:w="0" w:type="dxa"/>
            <w:vAlign w:val="bottom"/>
          </w:tcPr>
          <w:p>
            <w:pPr>
              <w:spacing w:after="0"/>
              <w:rPr>
                <w:sz w:val="1"/>
                <w:szCs w:val="1"/>
                <w:color w:val="auto"/>
              </w:rPr>
            </w:pPr>
          </w:p>
        </w:tc>
      </w:tr>
      <w:tr>
        <w:trPr>
          <w:trHeight w:val="24"/>
        </w:trPr>
        <w:tc>
          <w:tcPr>
            <w:tcW w:w="36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200" w:right="3180" w:hanging="3192"/>
        <w:spacing w:after="0" w:line="492" w:lineRule="auto"/>
        <w:tabs>
          <w:tab w:leader="none" w:pos="325"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Amounts include excise tax imposed by the Inflation Reduction Act of 2022, as amended, and broker commissions. See accompanying notes to Condensed Consolidated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are in millions, except per share data or as otherwise specified)</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for the three and nine months ended September 30, 2026 and 2025 are unaudited. In the opinion of management, the accompanying unaudited Condensed Consolidated Financial Statements reflect all adjustments, which include only normal recurring adjustments, necessary to state fairly the financial position, results of operations, comprehensive income, and cash flows of Roper Technologies, Inc. and its subsidiaries (“Roper,” the “Company,” “we,” “our,” or “us”) for all periods presented. The December 31, 2025 financial position data included herein was derived from the audited consolidated financial statements included in the Company’s 2025 Annual Report on Form 10-K (“Annual Report”) filed on February 24, 2026 with the U.S. Securities and Exchange Commission (“SEC”) but does not include all annual disclosures required by U.S. generally accepted accounting principles (“GAAP”).</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Roper’s management has made estimates and assumptions related to the reporting of assets and liabilities and the disclosure of contingent assets and liabilities to prepare these Condensed Consolidated Financial Statements in conformity with GAAP. Actual results could differ from those estimates.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2026 are not necessarily indicative of the results to be expected for the full year. You should read these unaudited Condensed Consolidated Financial Statements in conjunction with Roper’s audited Consolidated Financial Statements and the notes thereto included in its Annual Report. Certain prior period amounts have been reclassified to conform to current period presentation.</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Accounting Standards Board (“FASB”) establishes changes to accounting principles under GAAP in the form of accounting standards updates (“ASUs”) to the FASB’s Accounting Standards Codification (“ASC”). The Company considers the applicability and impact of all ASUs. Any recent ASUs not listed below were assessed and either determined to be not applicable or are expected to have an immaterial impact on the Company’s Consolidated Financial Statements.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“Income Statement—Reporting Comprehensive Income—Expense Disaggregation Disclosures (Subtopic 220-40): Disaggregation of Income Statement Expenses” (ASU 2024-03), which requires the disclosure of additional information about specific categories of costs and expenses in the notes to consolidated financial statements. This guidance is effective for annual periods beginning after December 15, 2026, and interim periods within fiscal years beginning after December 15, 2027. Early adoption is permitted. This ASU will likely result in additional disclosures. We are currently evaluating the provisions of this ASU.</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No. 2025-06, “Intangibles—Goodwill and Other—Internal-Use Software (Subtopic 350-40): Targeted Improvements to the Accounting for Internal-Use Software” (ASU 2025-06), which updates the threshold for cost capitalization of internal-use software development costs by removing all references to project development stages and adding considerations for evaluating the probable-to-complete recognition threshold. This guidance is effective for annual periods beginning after December 15, 2027, and interim periods within those fiscal years. Early adoption is permitted. We are currently evaluating the provisions of this ASU.</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Weighted Average Shares Outstanding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was calculated using net earnings and the weighted average number of shares of common stock outstanding during the respective period. Diluted earnings per share was calculated using net earnings and the weighted average number of shares of common stock and potential common stock outstanding during the respective period. Potentially dilutive common stock consisted of stock options and restricted stock awards based upon the average trading price of Roper’s common stock. The effects of potential common stock were determined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Weighted average shares outstanding are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shares outstanding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 of potential common stock:</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Common stock awards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1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1"/>
        </w:trPr>
        <w:tc>
          <w:tcPr>
            <w:tcW w:w="212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r>
      <w:tr>
        <w:trPr>
          <w:trHeight w:val="239"/>
        </w:trPr>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486"/>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7"/>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-668020</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-350520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260"/>
          </w:cols>
          <w:pgMar w:left="320" w:top="891" w:right="339" w:bottom="1440" w:gutter="0" w:footer="0" w:header="0"/>
        </w:sectPr>
      </w:pP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there were 2.004 and 2.197 stock-based awards outstanding, respectively, that were not included in the determination of diluted earnings per share because to do so would have been antidilutive, as compared to 0.823 and 0.810 stock-based awards outstanding that would have been antidilutive in the respective comparable periods of 2025.</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Business Acquisitions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Roper completed four business acquisitions for purchase prices totaling $488.7, net of cash acquired and certain liabilities assumed. Two of these acquisitions have been integrated into businesses within our Network Software reportable segment, and the other two have been integrated into businesses within our Application Software reportable segment. The results of each acquired business are reported in its respective reportable segment.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26, 2026, Roper acquired Project Source Bidco Limited (“Origo”) for a purchase price of $308.1, net of cash acquired and certain liabilities assumed. Origo is a UK-based provider of connectivity software enabling secure information exchange among private pension providers, financial advisors and investment platforms. This acquisition has been integrated into our iPipeline business and its results are reported in the Network Software reportable segment.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14, 2026, Roper acquired Carline Inc. (“Playground”) for a purchase price of $140.0, net of cash acquired and certain liabilities assumed. Playground is a provider of artificial intelligence-enabled child care management software. This acquisition is being integrated into our Procare business and its results are reported in the Application Software reportable segment.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$243.6 in goodwill, $14.8 assigned to trade names that are not subject to amortization, and $317.2 of other identifiable intangibles in connection with these acquisitions. The amortizable intangible assets include customer relationships of $284.2 (21.5 year weighted average useful life) and technology of $33.0 (6.4 year weighted average useful life).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of the acquired businesses are included in Roper’s Condensed Consolidated Financial Statements from the date of each acquisition. Pro forma results of operations and the revenues and net earnings subsequent to each acquisition date have not been presented because the effects of the acquisitions, individually and in the aggregate, were not material to our financial results.</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Roper Technologies, Inc. 2021 Incentive Plan, as amended (the “Amended Incentive Plan”), is a stock-based compensation plan used to grant incentive stock options, nonqualified stock options, restricted stock and restricted stock units (collectively “restricted stock awards”), stock appreciation rights, or equivalent instruments to Roper’s employees, officers, directors, and consultants. The amendment to the 2021 Incentive Plan, which was approved by shareholders at the Annual Meeting of Shareholders on May 19, 2026 (the “Annual Meeting”), increased the number of shares available to grant under the Amended Incentive Plan.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regarding the Company’s stock-based compensation expense, included as a component of “Selling, general and administrative expenses” (“SG&amp;A expenses”), is provided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6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9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39"/>
        </w:trPr>
        <w:tc>
          <w:tcPr>
            <w:tcW w:w="49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recognized in net earnings</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forfeitures of stock-based awards as they occur, with previously recognized compensation reversed in the period in which the awards are forfeited.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During the nine months ended September 30, 2026, 0.561 options were granted with a weighted-average fair value of $92.27 per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comparable period in 2025, 0.285 options were granted with a weighted-average fair value of $180.74 per option. All options were granted with an exercise price equal to the closing price of Roper’s common stock on the date of grant, as required by the Company’s stock-based compensation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Roper records compensation expense for employee stock options based on the estimated fair value of the options on the date of grant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valuation model. Historical data is used to estimate the expected price volatility, the expected dividend yield, and the expected option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risk-free rate is based on the U.S. Treasury yield curve in effect at the time of grant for the expected life of the award.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weighted average assumptions were used to estimate the fair value of options granted during the current and prior year periods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valuation model:</w:t>
      </w:r>
    </w:p>
    <w:p>
      <w:pPr>
        <w:spacing w:after="0" w:line="284"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19685</wp:posOffset>
            </wp:positionV>
            <wp:extent cx="28632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1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43"/>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40" w:type="dxa"/>
            <w:vAlign w:val="bottom"/>
            <w:shd w:val="clear" w:color="auto" w:fill="CCEEFF"/>
          </w:tcPr>
          <w:p>
            <w:pPr>
              <w:spacing w:after="0"/>
              <w:rPr>
                <w:sz w:val="21"/>
                <w:szCs w:val="21"/>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received from option exercises during the nine months ended September 30, 2026 and 2025 was $41.0 and $97.5, respectively.</w:t>
      </w:r>
    </w:p>
    <w:p>
      <w:pPr>
        <w:spacing w:after="0" w:line="2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 During the nine months ended September 30, 2026, the Company granted 0.910 shares of restricted stock awards in total,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weighted-average grant date fair value of $354.88 per share. During the comparable period in 2025, the Company granted 0.436 shares of restricted stock awards in total, with a weighted-average grant date fair value of $594.78 per share. These awards were granted at the fair market value of the shares on the date of grant.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awards include 0.157 and 0.074 performance-based restricted stock awards granted to certain members of the Roper senior leadership team during the nine months ended September 30, 2026 and 2025, respectively, with weighted-average grant date fair values of $353.87 and $663.42 per share, respectively. Such awards include the ability to earn up to 200% of the number of restricted stock awards originally granted contingent upon Roper’s performance over a three-year period.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0.165 shares of restricted stock awards vested with a weighted-average grant date fair value of $489.87 per share and a weighted-average vest date fair value of $359.42 per share. During the comparable period in 2025, 0.106 shares of restricted stock awards vested with a weighted-average grant date fair value of $479.96 per share and a weighted-average vest date fair value of $576.58 per share.</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 Through June 30, 2026, Roper’s ESPP allowed eligible employees in the U.S. and Canada to contribute up to 10%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eligible earnings to purchase Roper’s common stock at a 10% discount on the lower of the closing share price on the first or the last day of each quarterly offering period.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and 2025, participants of the ESPP purchased 0.041 and 0.037 shares, respectively, of Roper’s common stock for total consideration of $12.7 and $17.4, respectively. All of these shares were purchased from Roper’s treasury shares. No shares were purchased under the ESPP after June 30, 2026.</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Roper Technologies, Inc. Employee Stock Purchase Plan was amended and restated (the “Amended ESPP”) and became effective on July 1, 2026, following shareholder approval at the Annual Meeting.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Amended ESPP, eligible employees in the U.S. and Canada are able to contribute up to 15% of their eligible earnings to purchase Roper’s common stock at a 15% discount on the lower of the closing share price on the first or the last day of each offering period. The Company may change the length of offering periods as well as their start and end dates. The first offering period under the Amended ESPP, which began on July 1, 2026, has a duration of six months and will end on December 31, 2026. Shares sold under the Amended ESPP may originate from treasury stock, shares purchased on the open market, or newly issued shares.</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2025, the Company’s Board of Directors approved a share repurchase program authorizing the repurchase of up to $3,000.0 of the Company’s common stock, and in April 2026 approved an additional $3,000.0 of repurchase authorization under the program. Shares of common stock may be repurchased from time to time through open market purchases or privately negotiated transactions, including under repurchase plans complying with Rule 10b5-1 under the Exchange Act, and subject to market conditions, applicable legal requirements, and other relevant factors. The repurchase program does not have a fixed expiration date, does not obligate the Company to acquire any specific number of shares, and may be suspended at any time at the Company’s discretion. The timing, manner, price, and amount of any repurchases made will be determined by the Company in its discretion and will depend on a variety of factors, including price, business and market conditions, corporate and regulatory requirements, alternative investment opportunities, acquisition opportunities, and other factors.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repurchased 7.865 shares of its common stock for an aggregate purchase price of $2,724.1 and an average price paid per share of $346.34. The aggregate purchase price and average price paid per share exclude excise tax imposed by the Inflation Reduction Act of 2022, as amended, and broker commissions. All repurchases were made in open market transactions and there are no current plans to retire repurchased shares. No repurchases were made under the program during the three months ended September 30, 2026. As of September 30, 2026, $2,775.9 of the total amount authorized under the share repurchase program remained available for future repurchases.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5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inventories were as follows:</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513"/>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6"/>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4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4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Inventory reserves</w:t>
            </w:r>
          </w:p>
        </w:tc>
        <w:tc>
          <w:tcPr>
            <w:tcW w:w="2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61"/>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value of goodwill by segment was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Network Software</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340" w:type="dxa"/>
            <w:vAlign w:val="bottom"/>
          </w:tcPr>
          <w:p>
            <w:pPr>
              <w:spacing w:after="0"/>
              <w:rPr>
                <w:sz w:val="24"/>
                <w:szCs w:val="24"/>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580" w:type="dxa"/>
            <w:vAlign w:val="bottom"/>
            <w:gridSpan w:val="3"/>
            <w:vMerge w:val="continue"/>
          </w:tcPr>
          <w:p>
            <w:pPr>
              <w:spacing w:after="0"/>
              <w:rPr>
                <w:sz w:val="21"/>
                <w:szCs w:val="21"/>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Enabled Products</w:t>
            </w: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15,917.2</w:t>
            </w: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4,420.1</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21,341.2</w:t>
            </w:r>
          </w:p>
        </w:tc>
        <w:tc>
          <w:tcPr>
            <w:tcW w:w="0" w:type="dxa"/>
            <w:vAlign w:val="bottom"/>
          </w:tcPr>
          <w:p>
            <w:pPr>
              <w:spacing w:after="0"/>
              <w:rPr>
                <w:sz w:val="1"/>
                <w:szCs w:val="1"/>
                <w:color w:val="auto"/>
              </w:rPr>
            </w:pPr>
          </w:p>
        </w:tc>
      </w:tr>
      <w:tr>
        <w:trPr>
          <w:trHeight w:val="243"/>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acquired</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3"/>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61"/>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September 30, 2026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21,555.0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relates to purchase accounting adjustments for completed acquisitions.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consisted of:</w:t>
            </w: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513"/>
        </w:trPr>
        <w:tc>
          <w:tcPr>
            <w:tcW w:w="442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300" w:type="dxa"/>
            <w:vAlign w:val="bottom"/>
          </w:tcPr>
          <w:p>
            <w:pPr>
              <w:spacing w:after="0"/>
              <w:rPr>
                <w:sz w:val="24"/>
                <w:szCs w:val="24"/>
                <w:color w:val="auto"/>
              </w:rPr>
            </w:pPr>
          </w:p>
        </w:tc>
        <w:tc>
          <w:tcPr>
            <w:tcW w:w="1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 book value</w:t>
            </w: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subject to amortization:</w:t>
            </w:r>
          </w:p>
        </w:tc>
        <w:tc>
          <w:tcPr>
            <w:tcW w:w="13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r>
      <w:tr>
        <w:trPr>
          <w:trHeight w:val="243"/>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12,301.5</w:t>
            </w:r>
          </w:p>
        </w:tc>
        <w:tc>
          <w:tcPr>
            <w:tcW w:w="140" w:type="dxa"/>
            <w:vAlign w:val="bottom"/>
          </w:tcPr>
          <w:p>
            <w:pPr>
              <w:spacing w:after="0"/>
              <w:rPr>
                <w:sz w:val="21"/>
                <w:szCs w:val="21"/>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(3,894.6)</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8,406.9</w:t>
            </w:r>
          </w:p>
        </w:tc>
      </w:tr>
      <w:tr>
        <w:trPr>
          <w:trHeight w:val="243"/>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Unpatented technology</w:t>
            </w:r>
          </w:p>
        </w:tc>
        <w:tc>
          <w:tcPr>
            <w:tcW w:w="1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r>
      <w:tr>
        <w:trPr>
          <w:trHeight w:val="243"/>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Patents and other protective rights</w:t>
            </w:r>
          </w:p>
        </w:tc>
        <w:tc>
          <w:tcPr>
            <w:tcW w:w="1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1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43"/>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w:t>
            </w:r>
          </w:p>
        </w:tc>
      </w:tr>
      <w:tr>
        <w:trPr>
          <w:trHeight w:val="262"/>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2025</w:t>
            </w:r>
          </w:p>
        </w:tc>
        <w:tc>
          <w:tcPr>
            <w:tcW w:w="136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14,086.7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(4,322.5)</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subject to amortization:</w:t>
            </w:r>
          </w:p>
        </w:tc>
        <w:tc>
          <w:tcPr>
            <w:tcW w:w="1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43"/>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12,566.8</w:t>
            </w:r>
          </w:p>
        </w:tc>
        <w:tc>
          <w:tcPr>
            <w:tcW w:w="140" w:type="dxa"/>
            <w:vAlign w:val="bottom"/>
          </w:tcPr>
          <w:p>
            <w:pPr>
              <w:spacing w:after="0"/>
              <w:rPr>
                <w:sz w:val="21"/>
                <w:szCs w:val="21"/>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(4,411.9)</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8,154.9</w:t>
            </w:r>
          </w:p>
        </w:tc>
      </w:tr>
      <w:tr>
        <w:trPr>
          <w:trHeight w:val="243"/>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Unpatented technology</w:t>
            </w:r>
          </w:p>
        </w:tc>
        <w:tc>
          <w:tcPr>
            <w:tcW w:w="1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r>
      <w:tr>
        <w:trPr>
          <w:trHeight w:val="243"/>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Patents and other protective rights</w:t>
            </w:r>
          </w:p>
        </w:tc>
        <w:tc>
          <w:tcPr>
            <w:tcW w:w="1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1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43"/>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3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September 30, 2026</w:t>
            </w: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14,359.1</w:t>
            </w: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(4,903.4)</w:t>
            </w:r>
          </w:p>
        </w:tc>
        <w:tc>
          <w:tcPr>
            <w:tcW w:w="14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9,455.7</w:t>
            </w:r>
          </w:p>
        </w:tc>
      </w:tr>
      <w:tr>
        <w:trPr>
          <w:trHeight w:val="20"/>
        </w:trPr>
        <w:tc>
          <w:tcPr>
            <w:tcW w:w="4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2026, in connection with the rebranding of Transact Campus and CBORD under the Illumia name, the Company determined that the related trade names are no longer indefinite-lived. These trade names, totaling $68.8, were reclassified to assets subject to amortization and are being amortized over five years.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of other intangible assets was $211.9 and $209.6 during the three months ended September 30, 2026 and 2025, respectively, and $627.7 and $607.1 during the nine months ended September 30, 2026 and 2025,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evaluation of the carrying value of goodwill and other indefinite-lived intangibles is required to be performed on an annual basis, and on an interim basis if an event occurs or circumstances change that would more likely than not reduce the fair value of a reporting unit below its carrying value. There have been no events or changes in circumstances which indicate an interim impairment review is required in 2026. The Company will perform the annual analysis during the fourth quarter of 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30, 2026, the Company entered into a new five-year unsecured credit facility (the “Credit Agreement”) among Roper, the financial institutions from time to time party thereto, JPMorgan Chase Bank, N.A., as administrative agent, Bank of America, N.A. and Wells Fargo Bank, National Association, as syndication agents, and PNC Bank, National Association, Truist Bank, U.S. Bank National Association, The Huntington National Bank, Royal Bank of Canada, The Toronto-Dominion Bank, New York Branch, and MUFG Bank, Ltd., as documentation agents, which replaced the previous $3,500.0 unsecured credit facility, dated as of July 21, 2022. The Credit Agreement comprises a five-year $3,500.0 unsecured revolving credit facility, which includes availability of up to $150.0 for letters of credit. Loans under the unsecured credit facility are available in dollars, and letters of credit will be available in dollars and other currencies to be agreed. The Company may also, subject to compliance with specified conditions, request additional term loans or revolving credit commitments in an aggregate amount not to exceed $1,000.0.</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the right to add foreign subsidiaries as borrowers under the Credit Agreement, subject to the satisfaction of specified conditions. The Company will guarantee the payment and performance by foreign subsidiary borrowers for any of their obligations under the Credit Agreement. The Company’s obligations under the Credit Agreement are not guaranteed by any of its subsidiaries. However, the Company has the right, subject to the satisfaction of certain conditions set forth in the Credit Agreement, to cause any of its wholly-owned domestic subsidiaries to become guarantors.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under the Credit Agreement can be borrowed as term Secured Overnight Financing Rate (“SOFR”) loans or Alternate Base Rate (“ABR”) loans, at the Company’s option. Each term SOFR loan will bear interest at a rate per annum equal to the applicable term SOFR rate plus a spread ranging from 0.795% to 1.300%, as determined by the Company’s senior unsecured long-term debt rating at such time. Based on the Company’s current credit rating, the spread for SOFR loans would be 0.920%. Each ABR loan will bear interest at a rate per annum equal to the Alternate Base Rate plus a spread ranging from 0.000% to 0.300%, as determined by the Company’s senior unsecured long-term debt rating at such time. Based on the Company’s current credit rating, the spread for ABR loans would be 0.000%.</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letters of credit issued under the Credit Agreement are charged a quarterly fee depending on the Company’s senior unsecured long-term debt rating. Based on the Company’s current credit rating, the quarterly fee would be payable at a rate of 0.920% per annum, plus a fronting fee of 0.125% per annum on the undrawn and unexpired amount of all letters of credit.</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the Company will pay a quarterly facility fee on the used and unused portions of the unsecured revolving credit facility depending on the Company’s senior unsecured long-term debt rating. Based on the Company’s current credit rating, the quarterly facility fee would accrue at a rate of 0.080% per annum.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outstanding under the Credit Agreement may be accelerated upon the occurrence of customary events of default. The Credit Agreement requires the Company to maintain a Total Debt to Total Capital Ratio of 0.65 to 1.00, or less. Borrowings under the Credit Agreement are prepayable at the Company’s option at any time in whole or in part without premium or penalty.</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valued using market prices on active markets (Level 1), less active markets (Level 2), and little or no market activity (Level 3). Level 1 instrument valuations are obtained from real-time quotes for transactions in active exchange markets involving identical assets. Level 2 instrument valuations are obtained from readily available pricing sources for comparable instruments, identical instruments in less active markets, or models using market observable inputs. Level 3 instrument valuations typically reflect management’s estimate of assumptions that market participants would use in pricing the asset or liability.</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color w:val="auto"/>
        </w:rPr>
        <w:t>– As of September 30, 2026 and December 31, 2025, the total estimated fair value of Roper’s fixed-rate senior notes was $7,925.2 and $8,287.4,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The fair values of the senior notes are based on the trading prices of each series of notes, which the Company has determined to be Level 2 in the FASB fair value hierarchy.</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2026 and December 31, 2025, there were $1,250.0 and $850.0 of borrowings outstanding under our unsecured revolving credit facility, respectively. The carrying value of these borrowings approximates their estimated fair value.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Equity Investment </w:t>
      </w:r>
      <w:r>
        <w:rPr>
          <w:rFonts w:ascii="Times New Roman" w:cs="Times New Roman" w:eastAsia="Times New Roman" w:hAnsi="Times New Roman"/>
          <w:sz w:val="18"/>
          <w:szCs w:val="18"/>
          <w:color w:val="auto"/>
        </w:rPr>
        <w:t>– As of September 30, 2026 and December 31, 2025, the Company held equity interests of 43.4% and 43.8%, respectively,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businesses historically held through Indicor Equity, LLC (collectively, “Indicor”). We elected to apply the fair value option as we believe this is the most reasonable method to value our equity investment. The fair value of Roper’s equity investment is estimated on a quarterly basis and changes in fair value are reported as a component of “Equity investment (gain) loss, net” in our Condensed Consolidated Statements of Earnings.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26, 2026, Indicor completed its previously announced divestiture of its portfolio of instrumentation businesses (“Indicor Instrumentation”) to AMETEK, Inc. for an enterprise value of $5,000.0. Upon closing, Roper received pre-tax cash proceeds of $1,239.2, and expects to receive approximately $33 upon escrow release. In addition, Roper’s previous requirement to make quarterly payments to Clayton Dubilier &amp; Rice, LLC, either (i) in cash or (ii) in-kind through the transfer of Roper’s equity interests in Indicor, was terminated upon closing of this transaction.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10, 2026, Indicor entered into a definitive agreement to divest its flow controls businesses, Cornell Pump and Roper Pump (“Indicor Flow Controls”), to Xylem Inc. for an enterprise value of approximately $1,460. The transaction is subject to customary closing conditions, including applicable regulatory approvals, and is expected to close in the fourth quarter of 2026. Following closing of the Indicor Flow Controls transaction, Roper expects to receive pre-tax cash proceeds of approximately $600, including current estimates for purchase price adjustments and transaction costs which are subject to finalization.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the fair value of our equity investment using the market multiple approach, based on revenue and earnings multiples of comparable guideline public companies. In light of the anticipated Indicor Flow Controls transaction, we updated certain valuation assumptions, including the selection of multiples which considered the enterprise value implied by this planned transaction.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our equity investment reflects management’s estimate of assumptions that market participants would use in pricing the equity interest, which the Company has determined to be Level 3 in the FASB fair value hierarchy. Although we believe our assumptions are reasonable, there is significant judgment in determining fair value. Changes in estimates or the application of alternative assumptions could produce significantly different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fair value for our equity investment in Indicor measured using Level 3 inputs: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39"/>
        </w:trPr>
        <w:tc>
          <w:tcPr>
            <w:tcW w:w="49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1,792.2</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r>
      <w:tr>
        <w:trPr>
          <w:trHeight w:val="24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fair value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43"/>
        </w:trPr>
        <w:tc>
          <w:tcPr>
            <w:tcW w:w="498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Indicor Instrumentation transaction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w:t>
            </w: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Reflects pre-tax cash proceeds of $1,239.2 received upon closing and Roper’s estimated portion of proceeds of $33 expected to be received upon escrow release.</w:t>
      </w: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received $6.7 and $5.1 of dividend distributions from Indicor during the nine months ended September 30, 2026 and 2025, respectively, which are reported within “Equity investment (gain) loss, net” in our Condensed Consolidated Statements of Earnings. These dividend distributions were intended to offset certain cash taxes payable associated with Roper’s ownership stake and were contemplated in the determination of the fair value for our equity investment.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Receivables Purchase Agreement </w:t>
      </w:r>
      <w:r>
        <w:rPr>
          <w:rFonts w:ascii="Times New Roman" w:cs="Times New Roman" w:eastAsia="Times New Roman" w:hAnsi="Times New Roman"/>
          <w:sz w:val="18"/>
          <w:szCs w:val="18"/>
          <w:color w:val="auto"/>
        </w:rPr>
        <w:t>– Outgo Inc. (“Outgo”), a freight payment software and factoring solutions subsidiary integrated into our DAT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entered into a receivables purchase agreement (“RPA”) under which certain Outgo factored receivables are sold to a third-party financial institution on a non-recourse basis and derecognized upon sale. Sales of Outgo factored receivables did not result in a material gain or loss. As a part of the RPA, Outgo continues to perform certain collection and administrative functions for receivables sold to the purchaser. Under the agreement, Outgo retains a beneficial interest representing the deferred purchase price, which is paid to Outgo following collection of the underlying receivables. The fair value of this beneficial interest was $12.8 at September 30, 2026. Cash inflows received on the beneficial interest totaled $15.2 for the nine months ended September 30, 2026 and are reported within investing activities in our Condensed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Roper, in the ordinary course of business, is party to various pending or threatened legal actions, including product liability, intellectual property, antitrust, data privacy, and employment practices that, in general, are of a nature consistent with those over the past several years. After analyzing the Company’s contingent liabilities on a gross basis and, based upon past experience with resolution of such legal claims and the availability and limits of the primary, excess, and umbrella liability insurance coverages with respect to pending claims, management believes that adequate provision has been made to cover any potential liability not covered by insurance, and that the ultimate liability, if any, arising from these actions should not have a material adverse effect on Roper’s consolidated financial position, results of operations, or cash flows. However, no assurances can be given in this regard.</w:t>
      </w: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Reportable Segments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by reportable segment: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460" w:type="dxa"/>
            <w:vAlign w:val="bottom"/>
            <w:tcBorders>
              <w:bottom w:val="single" w:sz="8" w:color="auto"/>
            </w:tcBorders>
            <w:gridSpan w:val="14"/>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1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0" w:type="dxa"/>
            <w:vAlign w:val="bottom"/>
          </w:tcPr>
          <w:p>
            <w:pPr>
              <w:spacing w:after="0"/>
              <w:rPr>
                <w:sz w:val="15"/>
                <w:szCs w:val="15"/>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20" w:type="dxa"/>
            <w:vAlign w:val="bottom"/>
          </w:tcPr>
          <w:p>
            <w:pPr>
              <w:spacing w:after="0"/>
              <w:rPr>
                <w:sz w:val="15"/>
                <w:szCs w:val="15"/>
                <w:color w:val="auto"/>
              </w:rPr>
            </w:pPr>
          </w:p>
        </w:tc>
        <w:tc>
          <w:tcPr>
            <w:tcW w:w="1160" w:type="dxa"/>
            <w:vAlign w:val="bottom"/>
            <w:gridSpan w:val="4"/>
          </w:tcPr>
          <w:p>
            <w:pPr>
              <w:jc w:val="center"/>
              <w:ind w:right="200"/>
              <w:spacing w:after="0" w:line="182"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1080" w:type="dxa"/>
            <w:vAlign w:val="bottom"/>
            <w:tcBorders>
              <w:right w:val="single" w:sz="8" w:color="auto"/>
            </w:tcBorders>
            <w:gridSpan w:val="4"/>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0" w:type="dxa"/>
            <w:vAlign w:val="bottom"/>
          </w:tcPr>
          <w:p>
            <w:pPr>
              <w:spacing w:after="0"/>
              <w:rPr>
                <w:sz w:val="15"/>
                <w:szCs w:val="15"/>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4"/>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1080" w:type="dxa"/>
            <w:vAlign w:val="bottom"/>
            <w:tcBorders>
              <w:right w:val="single" w:sz="8" w:color="auto"/>
            </w:tcBorders>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Pr>
          <w:p>
            <w:pPr>
              <w:spacing w:after="0"/>
              <w:rPr>
                <w:sz w:val="21"/>
                <w:szCs w:val="21"/>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Pr>
          <w:p>
            <w:pPr>
              <w:spacing w:after="0"/>
              <w:rPr>
                <w:sz w:val="21"/>
                <w:szCs w:val="21"/>
                <w:color w:val="auto"/>
              </w:rPr>
            </w:pPr>
          </w:p>
        </w:tc>
        <w:tc>
          <w:tcPr>
            <w:tcW w:w="11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00" w:type="dxa"/>
            <w:vAlign w:val="bottom"/>
          </w:tcPr>
          <w:p>
            <w:pPr>
              <w:spacing w:after="0"/>
              <w:rPr>
                <w:sz w:val="21"/>
                <w:szCs w:val="21"/>
                <w:color w:val="auto"/>
              </w:rPr>
            </w:pPr>
          </w:p>
        </w:tc>
        <w:tc>
          <w:tcPr>
            <w:tcW w:w="880" w:type="dxa"/>
            <w:vAlign w:val="bottom"/>
            <w:tcBorders>
              <w:right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40" w:type="dxa"/>
            <w:vAlign w:val="bottom"/>
          </w:tcPr>
          <w:p>
            <w:pPr>
              <w:spacing w:after="0"/>
              <w:rPr>
                <w:sz w:val="21"/>
                <w:szCs w:val="21"/>
                <w:color w:val="auto"/>
              </w:rPr>
            </w:pPr>
          </w:p>
        </w:tc>
        <w:tc>
          <w:tcPr>
            <w:tcW w:w="7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7"/>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right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2,017.5</w:t>
            </w: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37"/>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Depreciation and other</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Capitalized software</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365"/>
        </w:trPr>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00" w:type="dxa"/>
            <w:vAlign w:val="bottom"/>
            <w:gridSpan w:val="1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40" w:type="dxa"/>
            <w:vAlign w:val="bottom"/>
            <w:gridSpan w:val="9"/>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gridSpan w:val="12"/>
            <w:vMerge w:val="continue"/>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gridSpan w:val="9"/>
            <w:vMerge w:val="continue"/>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0" w:type="dxa"/>
            <w:vAlign w:val="bottom"/>
          </w:tcPr>
          <w:p>
            <w:pPr>
              <w:spacing w:after="0"/>
              <w:rPr>
                <w:sz w:val="15"/>
                <w:szCs w:val="15"/>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20" w:type="dxa"/>
            <w:vAlign w:val="bottom"/>
          </w:tcPr>
          <w:p>
            <w:pPr>
              <w:spacing w:after="0"/>
              <w:rPr>
                <w:sz w:val="15"/>
                <w:szCs w:val="15"/>
                <w:color w:val="auto"/>
              </w:rPr>
            </w:pPr>
          </w:p>
        </w:tc>
        <w:tc>
          <w:tcPr>
            <w:tcW w:w="1160" w:type="dxa"/>
            <w:vAlign w:val="bottom"/>
            <w:gridSpan w:val="4"/>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1080" w:type="dxa"/>
            <w:vAlign w:val="bottom"/>
            <w:tcBorders>
              <w:right w:val="single" w:sz="8" w:color="auto"/>
            </w:tcBorders>
            <w:gridSpan w:val="4"/>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0" w:type="dxa"/>
            <w:vAlign w:val="bottom"/>
          </w:tcPr>
          <w:p>
            <w:pPr>
              <w:spacing w:after="0"/>
              <w:rPr>
                <w:sz w:val="15"/>
                <w:szCs w:val="15"/>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4"/>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1080" w:type="dxa"/>
            <w:vAlign w:val="bottom"/>
            <w:tcBorders>
              <w:right w:val="single" w:sz="8" w:color="auto"/>
            </w:tcBorders>
            <w:gridSpan w:val="4"/>
            <w:vMerge w:val="continue"/>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Pr>
          <w:p>
            <w:pPr>
              <w:spacing w:after="0"/>
              <w:rPr>
                <w:sz w:val="20"/>
                <w:szCs w:val="20"/>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Pr>
          <w:p>
            <w:pPr>
              <w:spacing w:after="0"/>
              <w:rPr>
                <w:sz w:val="20"/>
                <w:szCs w:val="20"/>
                <w:color w:val="auto"/>
              </w:rPr>
            </w:pPr>
          </w:p>
        </w:tc>
        <w:tc>
          <w:tcPr>
            <w:tcW w:w="11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00" w:type="dxa"/>
            <w:vAlign w:val="bottom"/>
          </w:tcPr>
          <w:p>
            <w:pPr>
              <w:spacing w:after="0"/>
              <w:rPr>
                <w:sz w:val="20"/>
                <w:szCs w:val="20"/>
                <w:color w:val="auto"/>
              </w:rPr>
            </w:pPr>
          </w:p>
        </w:tc>
        <w:tc>
          <w:tcPr>
            <w:tcW w:w="88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6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2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40" w:type="dxa"/>
            <w:vAlign w:val="bottom"/>
          </w:tcPr>
          <w:p>
            <w:pPr>
              <w:spacing w:after="0"/>
              <w:rPr>
                <w:sz w:val="20"/>
                <w:szCs w:val="20"/>
                <w:color w:val="auto"/>
              </w:rPr>
            </w:pPr>
          </w:p>
        </w:tc>
        <w:tc>
          <w:tcPr>
            <w:tcW w:w="7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9"/>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3,612.0</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1,459.4</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6,376.0</w:t>
            </w: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right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3,324.1</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5,843.9</w:t>
            </w: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1,929.4</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1,801.8</w:t>
            </w: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2,165.7</w:t>
            </w:r>
          </w:p>
        </w:tc>
        <w:tc>
          <w:tcPr>
            <w:tcW w:w="0" w:type="dxa"/>
            <w:vAlign w:val="bottom"/>
          </w:tcPr>
          <w:p>
            <w:pPr>
              <w:spacing w:after="0"/>
              <w:rPr>
                <w:sz w:val="1"/>
                <w:szCs w:val="1"/>
                <w:color w:val="auto"/>
              </w:rPr>
            </w:pPr>
          </w:p>
        </w:tc>
      </w:tr>
      <w:tr>
        <w:trPr>
          <w:trHeight w:val="237"/>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2,021.6</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Depreciation and other</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Capitalized software</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left="340" w:hanging="332"/>
        <w:spacing w:after="0" w:line="258"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Segment operating profit is before unallocated corporate general and administrative expenses and enterprise-wide stock-based compensation. These expenses were $84.7 and $78.3 for the three months ended September 30, 2026 and 2025, respectively, and $244.1 and $229.3 for the nine months ended September 30, 2026 and 2025, respectively, and are included within consolidated SG&amp;A expenses to arrive at “Income from operations” in our Condensed Consolidated Statements of Earnings. Items below “Income from operations” are not allocated to reportable segments.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selected asset information by reportable segment:</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13"/>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Segments total assets:</w:t>
            </w:r>
          </w:p>
        </w:tc>
        <w:tc>
          <w:tcPr>
            <w:tcW w:w="22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r>
      <w:tr>
        <w:trPr>
          <w:trHeight w:val="243"/>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25,134.4</w:t>
            </w:r>
          </w:p>
        </w:tc>
        <w:tc>
          <w:tcPr>
            <w:tcW w:w="1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25,372.6</w:t>
            </w:r>
          </w:p>
        </w:tc>
      </w:tr>
      <w:tr>
        <w:trPr>
          <w:trHeight w:val="24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2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6,746.4</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6,458.7</w:t>
            </w:r>
          </w:p>
        </w:tc>
      </w:tr>
      <w:tr>
        <w:trPr>
          <w:trHeight w:val="24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2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1,806.0</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1,666.0</w:t>
            </w:r>
          </w:p>
        </w:tc>
      </w:tr>
      <w:tr>
        <w:trPr>
          <w:trHeight w:val="262"/>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Segments 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33,686.8</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33,497.3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Revenues from Contracts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Disaggregated Revenue </w:t>
      </w:r>
      <w:r>
        <w:rPr>
          <w:rFonts w:ascii="Times New Roman" w:cs="Times New Roman" w:eastAsia="Times New Roman" w:hAnsi="Times New Roman"/>
          <w:sz w:val="18"/>
          <w:szCs w:val="18"/>
          <w:color w:val="auto"/>
        </w:rPr>
        <w:t>– We disaggregate our revenues by reportable segment into four categories: (i) recurring revenue comprised of Software-as-a-Service (“SaaS”), annual term licenses, and software post-contract support (“PCS”); (ii) reoccurring revenue comprised of transactional and volume-based fees facilitated through our software; (iii) non-recurring revenue comprised of multi-year term and perpetual software licenses, professional services associated with software products and hardware sold with our software licenses; and (iv) product revenue. See details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720" w:type="dxa"/>
            <w:vAlign w:val="bottom"/>
            <w:tcBorders>
              <w:bottom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0" w:type="dxa"/>
            <w:vAlign w:val="bottom"/>
          </w:tcPr>
          <w:p>
            <w:pPr>
              <w:spacing w:after="0"/>
              <w:rPr>
                <w:sz w:val="15"/>
                <w:szCs w:val="15"/>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40" w:type="dxa"/>
            <w:vAlign w:val="bottom"/>
          </w:tcPr>
          <w:p>
            <w:pPr>
              <w:spacing w:after="0"/>
              <w:rPr>
                <w:sz w:val="15"/>
                <w:szCs w:val="15"/>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6"/>
              </w:rPr>
              <w:t>Technology</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stream</w:t>
            </w:r>
          </w:p>
        </w:tc>
        <w:tc>
          <w:tcPr>
            <w:tcW w:w="14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260" w:type="dxa"/>
            <w:vAlign w:val="bottom"/>
          </w:tcPr>
          <w:p>
            <w:pPr>
              <w:spacing w:after="0"/>
              <w:rPr>
                <w:sz w:val="15"/>
                <w:szCs w:val="15"/>
                <w:color w:val="auto"/>
              </w:rPr>
            </w:pPr>
          </w:p>
        </w:tc>
        <w:tc>
          <w:tcPr>
            <w:tcW w:w="84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240" w:type="dxa"/>
            <w:vAlign w:val="bottom"/>
          </w:tcPr>
          <w:p>
            <w:pPr>
              <w:spacing w:after="0"/>
              <w:rPr>
                <w:sz w:val="15"/>
                <w:szCs w:val="15"/>
                <w:color w:val="auto"/>
              </w:rPr>
            </w:pPr>
          </w:p>
        </w:tc>
        <w:tc>
          <w:tcPr>
            <w:tcW w:w="7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7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60" w:type="dxa"/>
            <w:vAlign w:val="bottom"/>
          </w:tcPr>
          <w:p>
            <w:pPr>
              <w:spacing w:after="0"/>
              <w:rPr>
                <w:sz w:val="21"/>
                <w:szCs w:val="21"/>
                <w:color w:val="auto"/>
              </w:rPr>
            </w:pPr>
          </w:p>
        </w:tc>
        <w:tc>
          <w:tcPr>
            <w:tcW w:w="84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4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 related</w:t>
            </w: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1,256.7</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1,158.9</w:t>
            </w: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Reoccurring</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0" w:type="dxa"/>
            <w:vAlign w:val="bottom"/>
          </w:tcPr>
          <w:p>
            <w:pPr>
              <w:spacing w:after="0"/>
              <w:rPr>
                <w:sz w:val="1"/>
                <w:szCs w:val="1"/>
                <w:color w:val="auto"/>
              </w:rPr>
            </w:pPr>
          </w:p>
        </w:tc>
      </w:tr>
      <w:tr>
        <w:trPr>
          <w:trHeight w:val="243"/>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Non-recurring</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169"/>
        </w:trPr>
        <w:tc>
          <w:tcPr>
            <w:tcW w:w="1700" w:type="dxa"/>
            <w:vAlign w:val="bottom"/>
            <w:tcBorders>
              <w:top w:val="single" w:sz="8" w:color="CCEEFF"/>
            </w:tcBorders>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auto"/>
              </w:rPr>
              <w:t>Total Software</w:t>
            </w: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1,701.0</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w:t>
            </w:r>
          </w:p>
        </w:tc>
        <w:tc>
          <w:tcPr>
            <w:tcW w:w="14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0" w:type="dxa"/>
            <w:vAlign w:val="bottom"/>
          </w:tcPr>
          <w:p>
            <w:pPr>
              <w:spacing w:after="0"/>
              <w:rPr>
                <w:sz w:val="1"/>
                <w:szCs w:val="1"/>
                <w:color w:val="auto"/>
              </w:rPr>
            </w:pPr>
          </w:p>
        </w:tc>
      </w:tr>
      <w:tr>
        <w:trPr>
          <w:trHeight w:val="237"/>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2,017.5</w:t>
            </w:r>
          </w:p>
        </w:tc>
        <w:tc>
          <w:tcPr>
            <w:tcW w:w="0" w:type="dxa"/>
            <w:vAlign w:val="bottom"/>
          </w:tcPr>
          <w:p>
            <w:pPr>
              <w:spacing w:after="0"/>
              <w:rPr>
                <w:sz w:val="1"/>
                <w:szCs w:val="1"/>
                <w:color w:val="auto"/>
              </w:rPr>
            </w:pPr>
          </w:p>
        </w:tc>
      </w:tr>
      <w:tr>
        <w:trPr>
          <w:trHeight w:val="41"/>
        </w:trPr>
        <w:tc>
          <w:tcPr>
            <w:tcW w:w="17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gridSpan w:val="10"/>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9"/>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10"/>
            <w:vMerge w:val="continue"/>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9"/>
            <w:vMerge w:val="continue"/>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0" w:type="dxa"/>
            <w:vAlign w:val="bottom"/>
          </w:tcPr>
          <w:p>
            <w:pPr>
              <w:spacing w:after="0"/>
              <w:rPr>
                <w:sz w:val="16"/>
                <w:szCs w:val="16"/>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40" w:type="dxa"/>
            <w:vAlign w:val="bottom"/>
          </w:tcPr>
          <w:p>
            <w:pPr>
              <w:spacing w:after="0"/>
              <w:rPr>
                <w:sz w:val="16"/>
                <w:szCs w:val="16"/>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6"/>
              </w:rPr>
              <w:t>Technology</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stream</w:t>
            </w:r>
          </w:p>
        </w:tc>
        <w:tc>
          <w:tcPr>
            <w:tcW w:w="1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260" w:type="dxa"/>
            <w:vAlign w:val="bottom"/>
          </w:tcPr>
          <w:p>
            <w:pPr>
              <w:spacing w:after="0"/>
              <w:rPr>
                <w:sz w:val="16"/>
                <w:szCs w:val="16"/>
                <w:color w:val="auto"/>
              </w:rPr>
            </w:pPr>
          </w:p>
        </w:tc>
        <w:tc>
          <w:tcPr>
            <w:tcW w:w="84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240" w:type="dxa"/>
            <w:vAlign w:val="bottom"/>
          </w:tcPr>
          <w:p>
            <w:pPr>
              <w:spacing w:after="0"/>
              <w:rPr>
                <w:sz w:val="16"/>
                <w:szCs w:val="16"/>
                <w:color w:val="auto"/>
              </w:rPr>
            </w:pPr>
          </w:p>
        </w:tc>
        <w:tc>
          <w:tcPr>
            <w:tcW w:w="7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7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60" w:type="dxa"/>
            <w:vAlign w:val="bottom"/>
          </w:tcPr>
          <w:p>
            <w:pPr>
              <w:spacing w:after="0"/>
              <w:rPr>
                <w:sz w:val="19"/>
                <w:szCs w:val="19"/>
                <w:color w:val="auto"/>
              </w:rPr>
            </w:pPr>
          </w:p>
        </w:tc>
        <w:tc>
          <w:tcPr>
            <w:tcW w:w="84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4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 related</w:t>
            </w: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3,677.6</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3,309.8</w:t>
            </w: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Reoccurring</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0" w:type="dxa"/>
            <w:vAlign w:val="bottom"/>
          </w:tcPr>
          <w:p>
            <w:pPr>
              <w:spacing w:after="0"/>
              <w:rPr>
                <w:sz w:val="1"/>
                <w:szCs w:val="1"/>
                <w:color w:val="auto"/>
              </w:rPr>
            </w:pPr>
          </w:p>
        </w:tc>
      </w:tr>
      <w:tr>
        <w:trPr>
          <w:trHeight w:val="243"/>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Non-recurring</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0" w:type="dxa"/>
            <w:vAlign w:val="bottom"/>
          </w:tcPr>
          <w:p>
            <w:pPr>
              <w:spacing w:after="0"/>
              <w:rPr>
                <w:sz w:val="1"/>
                <w:szCs w:val="1"/>
                <w:color w:val="auto"/>
              </w:rPr>
            </w:pPr>
          </w:p>
        </w:tc>
      </w:tr>
      <w:tr>
        <w:trPr>
          <w:trHeight w:val="178"/>
        </w:trPr>
        <w:tc>
          <w:tcPr>
            <w:tcW w:w="1700" w:type="dxa"/>
            <w:vAlign w:val="bottom"/>
            <w:tcBorders>
              <w:top w:val="single" w:sz="8" w:color="CCEEFF"/>
            </w:tcBorders>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Total Software</w:t>
            </w: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4,959.7</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4,532.0</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w:t>
            </w:r>
          </w:p>
        </w:tc>
        <w:tc>
          <w:tcPr>
            <w:tcW w:w="14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1,311.9</w:t>
            </w:r>
          </w:p>
        </w:tc>
        <w:tc>
          <w:tcPr>
            <w:tcW w:w="0" w:type="dxa"/>
            <w:vAlign w:val="bottom"/>
          </w:tcPr>
          <w:p>
            <w:pPr>
              <w:spacing w:after="0"/>
              <w:rPr>
                <w:sz w:val="1"/>
                <w:szCs w:val="1"/>
                <w:color w:val="auto"/>
              </w:rPr>
            </w:pPr>
          </w:p>
        </w:tc>
      </w:tr>
      <w:tr>
        <w:trPr>
          <w:trHeight w:val="237"/>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3,612.0</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1,459.4</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6,376.0</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3,324.1</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1,174.7</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5,843.9</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Remaining Performance Obligations </w:t>
      </w:r>
      <w:r>
        <w:rPr>
          <w:rFonts w:ascii="Times New Roman" w:cs="Times New Roman" w:eastAsia="Times New Roman" w:hAnsi="Times New Roman"/>
          <w:sz w:val="18"/>
          <w:szCs w:val="18"/>
          <w:color w:val="auto"/>
        </w:rPr>
        <w:t>– Remaining performance obligations represent the transaction price of firm orders for which work has not yet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excluding unexercised contract options. As of September 30, 2026, total remaining performance obligations were $5,430.0. We expect to recognize revenues on approximately 64%, or $3,471.6, of our remaining performance obligations over the next 12 months (“Backlog”), with the remainder of the revenue to be recognized thereafter.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account</w:t>
            </w:r>
          </w:p>
        </w:tc>
        <w:tc>
          <w:tcPr>
            <w:tcW w:w="220" w:type="dxa"/>
            <w:vAlign w:val="bottom"/>
          </w:tcPr>
          <w:p>
            <w:pPr>
              <w:spacing w:after="0"/>
              <w:rPr>
                <w:sz w:val="23"/>
                <w:szCs w:val="2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20" w:type="dxa"/>
            <w:vAlign w:val="bottom"/>
          </w:tcPr>
          <w:p>
            <w:pPr>
              <w:spacing w:after="0"/>
              <w:rPr>
                <w:sz w:val="23"/>
                <w:szCs w:val="23"/>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40" w:type="dxa"/>
            <w:vAlign w:val="bottom"/>
          </w:tcPr>
          <w:p>
            <w:pPr>
              <w:spacing w:after="0"/>
              <w:rPr>
                <w:sz w:val="23"/>
                <w:szCs w:val="23"/>
                <w:color w:val="auto"/>
              </w:rPr>
            </w:pPr>
          </w:p>
        </w:tc>
        <w:tc>
          <w:tcPr>
            <w:tcW w:w="17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4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44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Deferred revenue – non-current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contract assets/(liabilities)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(1,903.4)</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14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1"/>
        </w:trPr>
        <w:tc>
          <w:tcPr>
            <w:tcW w:w="4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non-current portion of deferred revenue is included in “Other liabilities” in our Condensed Consolidated Balance Sheets.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our net contract assets/(liabilities) from December 31, 2025 to September 30, 2026 was primarily due to the timing of payments and invoicing related to SaaS and PCS renewals within our Application Software reportable segment, partially offset by the SaaS renewal cycle of our Frontline business which primarily occurs in the third quarter.</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or due in advance of the Company’s performance relating primarily to SaaS and PCS renewals. Revenue recognized that was included in the deferred revenue balance on December 31, 2025 and 2024 was $286.4 and $270.2 for the three months ended September 30, 2026 and 2025, respectively, and $1,709.2 and $1,576.2 for the nine months ended September 30, 2026 and 2025, respectively. In order to determine revenues recognized in the period from contract liabilities, we allocate revenue to the individual deferred revenue balance outstanding at the beginning of the year until the revenue exceeds that balance.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and non-current portions of deferred commissions are included in “Prepaid expenses and other current assets” and “Other assets,” respectively, in our Condensed Consolidated Balance Sheets. At September 30, 2026 and December 31, 2025, we had $122.0 and $113.6 of total deferred commissions,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the following discussion in conjunction with Management’s Discussion and Analysis of Financial Condition and Results of Operations included in our Annual Report on Form 10-K for the year ended December 31, 2025 (“Annual Report”) as filed on February 24, 2026 with the U.S. Securities and Exchange Commission (“SEC”) and the Notes to Condensed Consolidated Financial Statements included elsewhere in this Quarterly Report on Form 10-Q (“Quarterly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Forward-Looking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federal securities laws. In addition, we, or our executive officers on our behalf, may from time to time make forward-looking statements in reports and other documents we file with the SEC or in connection with oral statements made to the press, potential investors, or others. All statements that are not historical facts are “forward-looking statements.”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Examples of forward-looking statements in this report include but are not limited to statements regarding operating results, the success of our operating plans, our expectations regarding our ability to generate cash and reduce debt and associated interest expense, profit and cash flow expectations, the prospects for newly acquired businesses to be integrated and contribute to future growth, and our expectations regarding growth through acquisitions. Important assumptions relating to the forward-looking statements include, among others, demand for our products, the cost, timing, and success of product upgrades and new product introductions, raw materials costs, expected pricing levels, expected outcomes of pending litigation, competitive conditions, and general economic conditions. These assumptions could prove inaccurate. Although we believe that the estimates and projections reflected in the forward-looking statements are reasonable, our expectations may prove to be incorrect. Important factors that could cause actual results to differ materially from estimates or projections contained in the forward-looking statements include but are not limited to:</w:t>
      </w:r>
    </w:p>
    <w:p>
      <w:pPr>
        <w:spacing w:after="0" w:line="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making acquisitions, including receiving the necessary regulatory approvals (including clearance under the Hart-Scott-Rodino Act in the United States (“U.S.”) and similar antitrust regulations in foreign countries), and successfully integrating acquired businesses;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unforeseen liabilities associated with future acquisitions;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(“IT”) system failures, data security breaches, network disruptions, and cybersecurity events, including any litigation arising therefrom;</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new data privacy laws and regulations, including any litigation arising therefrom;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costs associated with our international sales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business imposed by our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litigation, and insurance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business with large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government contracts;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of, or price for, labor, energy, raw materials, parts, and components, including as a result of inflation or potential supply chain constraints;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our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use of artificial intelligence (“AI”), including our ability to develop, deploy, and use AI in our platforms and offerings;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foreign exchange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changing U.S. and foreign trade policies, including increased trade restrictions or tariffs (including the non-renewal or a repeal of the United States-Mexico-Canada Agreement);</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exposure;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compliance costs and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or change in, government regulations (including tax);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any U.S. government shutdowns;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disruption caused by armed conflicts (such as the conflicts in Ukraine and the Middle East), terrorist attacks, health crises, or other unforeseen geopolitical events; and</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discussed in other reports we file with the SEC from time to time.</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statements, which are based on current expectations. Further, forward-looking statements speak only as of the date they are made, and we undertake no obligation to publicly update any of these statements in light of new information or future events.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Roper is a diversified technology company. Roper has a proven, long-term, successful track record of compounding cash flow and increasing shareholder value. We operate market leading businesses that design and develop vertical software and technology enabled products for a variety of defensible niche markets.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pursue consistent and sustainable growth in revenue, earnings, and cash flow by enabling continuous improvement in the operating performance of our businesses and by acquiring other businesses that offer high value-added software, services, technology-enabled products, and solutions that we believe are capable of realizing growth while maintaining high margins.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with respect to our equity investment, as described in Note 10, there were no material changes during the nine months ended September 30, 2026 to the items that we disclosed as our critical accounting policies and estimates in “Item 7. Management’s Discussion and Analysis of Financial Condition and Results of Operations” in our Annual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new accounting pronouncements can be found in Note 2 of the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currency amounts are in millions, and percentages are of net revenues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 may not sum due to rounding.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information for the periods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7"/>
                <w:szCs w:val="17"/>
                <w:color w:val="auto"/>
              </w:rPr>
            </w:pPr>
          </w:p>
        </w:tc>
        <w:tc>
          <w:tcPr>
            <w:tcW w:w="290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r>
      <w:tr>
        <w:trPr>
          <w:trHeight w:val="239"/>
        </w:trPr>
        <w:tc>
          <w:tcPr>
            <w:tcW w:w="46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640" w:type="dxa"/>
            <w:vAlign w:val="bottom"/>
            <w:shd w:val="clear" w:color="auto" w:fill="CCEEFF"/>
          </w:tcPr>
          <w:p>
            <w:pPr>
              <w:jc w:val="center"/>
              <w:ind w:right="351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1,239.7</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3,612.0</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3,324.1</w:t>
            </w:r>
          </w:p>
        </w:tc>
      </w:tr>
      <w:tr>
        <w:trPr>
          <w:trHeight w:val="243"/>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446.1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1,304.6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1,174.7</w:t>
            </w:r>
          </w:p>
        </w:tc>
      </w:tr>
      <w:tr>
        <w:trPr>
          <w:trHeight w:val="243"/>
        </w:trPr>
        <w:tc>
          <w:tcPr>
            <w:tcW w:w="4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1,459.4</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1,345.1</w:t>
            </w:r>
          </w:p>
        </w:tc>
      </w:tr>
      <w:tr>
        <w:trPr>
          <w:trHeight w:val="262"/>
        </w:trPr>
        <w:tc>
          <w:tcPr>
            <w:tcW w:w="4640" w:type="dxa"/>
            <w:vAlign w:val="bottom"/>
            <w:tcBorders>
              <w:bottom w:val="single" w:sz="8" w:color="CCEEFF"/>
            </w:tcBorders>
            <w:shd w:val="clear" w:color="auto" w:fill="CCEEFF"/>
          </w:tcPr>
          <w:p>
            <w:pPr>
              <w:jc w:val="center"/>
              <w:ind w:right="3470"/>
              <w:spacing w:after="0"/>
              <w:rPr>
                <w:sz w:val="20"/>
                <w:szCs w:val="20"/>
                <w:color w:val="auto"/>
              </w:rPr>
            </w:pPr>
            <w:r>
              <w:rPr>
                <w:rFonts w:ascii="Times New Roman" w:cs="Times New Roman" w:eastAsia="Times New Roman" w:hAnsi="Times New Roman"/>
                <w:sz w:val="18"/>
                <w:szCs w:val="18"/>
                <w:color w:val="auto"/>
                <w:w w:val="94"/>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2,171.8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6,376.0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5,843.9</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margin: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68.4 %</w:t>
            </w:r>
          </w:p>
        </w:tc>
      </w:tr>
      <w:tr>
        <w:trPr>
          <w:trHeight w:val="243"/>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83.7 %</w:t>
            </w:r>
          </w:p>
        </w:tc>
      </w:tr>
      <w:tr>
        <w:trPr>
          <w:trHeight w:val="243"/>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58.3 %</w:t>
            </w:r>
          </w:p>
        </w:tc>
      </w:tr>
      <w:tr>
        <w:trPr>
          <w:trHeight w:val="243"/>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69.2 %</w:t>
            </w:r>
          </w:p>
        </w:tc>
      </w:tr>
      <w:tr>
        <w:trPr>
          <w:trHeight w:val="203"/>
        </w:trPr>
        <w:tc>
          <w:tcPr>
            <w:tcW w:w="4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43"/>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43"/>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43"/>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43"/>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03"/>
        </w:trPr>
        <w:tc>
          <w:tcPr>
            <w:tcW w:w="4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margin:</w:t>
            </w: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43"/>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r>
      <w:tr>
        <w:trPr>
          <w:trHeight w:val="243"/>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r>
      <w:tr>
        <w:trPr>
          <w:trHeight w:val="243"/>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34.8 %</w:t>
            </w:r>
          </w:p>
        </w:tc>
      </w:tr>
      <w:tr>
        <w:trPr>
          <w:trHeight w:val="243"/>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r>
      <w:tr>
        <w:trPr>
          <w:trHeight w:val="203"/>
        </w:trPr>
        <w:tc>
          <w:tcPr>
            <w:tcW w:w="4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administrative expenses *</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43"/>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investment gain (loss), net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24.0 %</w:t>
            </w:r>
          </w:p>
        </w:tc>
      </w:tr>
      <w:tr>
        <w:trPr>
          <w:trHeight w:val="243"/>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0"/>
        </w:trPr>
        <w:tc>
          <w:tcPr>
            <w:tcW w:w="46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Includes unallocated corporate general and administrative expenses and enterprise-wide stock-based compensation.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the Three Months Ended September 30, 2025</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revenues for the three months ended September 30, 2026 were $2,171.8 as compared to $2,017.5 for the three months ended September 30, 2025, an increase of 7.6%. The components of revenue growth for the three months ended September 30, 2026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Network Software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Technology Enabled</w:t>
            </w:r>
          </w:p>
        </w:tc>
        <w:tc>
          <w:tcPr>
            <w:tcW w:w="15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Roper</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660" w:type="dxa"/>
            <w:vAlign w:val="bottom"/>
            <w:gridSpan w:val="2"/>
            <w:vMerge w:val="continue"/>
          </w:tcPr>
          <w:p>
            <w:pPr>
              <w:spacing w:after="0"/>
              <w:rPr>
                <w:sz w:val="21"/>
                <w:szCs w:val="21"/>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Growth</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7.9 %</w:t>
            </w:r>
          </w:p>
        </w:tc>
        <w:tc>
          <w:tcPr>
            <w:tcW w:w="80" w:type="dxa"/>
            <w:vAlign w:val="bottom"/>
            <w:tcBorders>
              <w:top w:val="single" w:sz="8" w:color="CCEEFF"/>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9"/>
              </w:rPr>
              <w:t>7.6 %</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Impacts of:</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5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62"/>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Revenue Growth</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9"/>
              </w:rPr>
              <w:t>6.7 %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Application Software segment, net revenues in the third quarter of 2026 grew 6.8% to $1,239.7 as compared to $1,161.0 in the third quarter of 2025. The growth of 6.2% in organic revenues was broad-based across the segment, led by our application software businesses serving the project-based private sector, higher education, legal, and applied behavior analysis therapy markets. Gross margin increased to 69.8% in the third quarter of 2026 as compared to 69.0% in the third quarter of 2025 due primarily to improved leverage on higher organic revenues. SG&amp;A expenses as a percentage of net revenues improved to 41.0% in the third quarter of 2026 as compared to 41.2% in the third quarter of 2025 due primarily to improved operating leverage on higher revenues. As a result, operating margin was 28.8% in the third quarter of 2026 as compared to 27.8% in the third quarter of 2025.</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our Network Software segment, net revenues in the third quarter of 2026 grew 7.9% to $446.1 as compared to $413.4 in the third quarter of 2025. The growth of 4.9% in organic revenues was led by our network software businesses serving the freight match, long-term care pharmacy, and construction markets. These increases were partially offset by declines in our alternate site group purchasing business and non-recurring revenue at our business serving the life insurance/annuities market. Growth from acquisitions was led by our July 2025 acquisition of Subsplash. Gross margin increased to 84.7% in the third quarter of 2026 as compared to 83.9% in the third quarter of 2025 due primarily to improved leverage on higher revenues and lower amortization associated with fully amortized acquired intangibles, partially offset by margin profiles associated with our 2025 acquisitions, most notably payments revenue mix from Subsplash as well as the Convoy platform within our freight match software business. SG&amp;A expenses as a percentage of net revenues increased to 42.2% in the third quarter of 2026 as compared to 40.8% in the third quarter of 2025 due primarily to SG&amp;A profiles associated with our 2025 acquisitions, including higher amortization of acquired intangibles. As a result, operating margin was 42.5% in the third quarter of 2026 as compared to 43.1% in the third quarter of 2025.</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our Technology Enabled Products segment, net revenues in the third quarter of 2026 grew 9.7% to $486.0 as compared to $443.1 in the third quarter of 2025. The growth of 9.8% in organic revenues was led by our medical products businesses, highlighted by our precision measurement and airway management businesses. These increases were partially offset by a decline in our water meter technology business. Gross margin decreased to 57.4% in the third quarter of 2026 as compared to 57.6% in the third quarter of 2025 due primarily to input cost pressures and meter mix at our water meter technology business as well as product mix within our medical products businesses weighted more towards consumables, partially offset by revenue mix across the segment. SG&amp;A expenses as a percentage of net revenues increased to 24.4% in the third quarter of 2026 as compared to 23.7% in the third quarter of 2025 due primarily to reduced operating leverage associated with our water meter technology business. The resulting operating margin was 33.1% in the third quarter of 2026 as compared to 33.9% in the third quarter of 2025.</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expenses increased to $84.7 in the third quarter of 2026 as compared to $78.3 in the third quarter of 2025. The dollar increase was due primarily to higher stock-based compensation expense, partially offset by a reduction in fees for professional services. As a percentage of net revenues, corporate expenses remained consistent at 3.9% of net revenues in both the third quarter of 2026 and 2025.</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increased to $106.7 for the third quarter of 2026 as compared to $89.7 for the third quarter of 2025 due primarily to a higher average revolving credit facility balance and a higher weighted-average interest rate on our senior notes.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Equity investment activity, net, was a gain of $56.2 in the third quarter of 2026 due primarily to an increase in the fair value of our equity investment. The increase was primarily due to updated valuation assumptions made in anticipation of Indicor’s planned divestiture of its flow controls businesses (“Indicor Flow Controls”). Equity investment activity, net, was a gain of $12.9 in the third quarter of 2025 due primarily to an increase in the fair value of our equity investment in Indicor.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as a percentage of pretax earnings decreased to 15.3% for the third quarter of 2026 as compared to 20.0% for the third quarter of 2025, primarily due to a net tax benefit recognized in connection with a change in our outside basis in Indicor resulting from the Indicor Instrumentation transaction described above, with both periods also benefiting from legal entity restructuring.</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Backlog is equal to our remaining performance obligations expected to be recognized as revenue within the next 12 months as discussed in Note 13 of the Notes to Condensed Consolidated Financial Statements. Backlog increased 9.4% to $3,471.6 at September 30, 2026 as compared to $3,174.0 at September 30, 2025 due primarily to organic growth and acquisitions in our software segments.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7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Backlog as of September 30,</w:t>
            </w:r>
          </w:p>
        </w:tc>
        <w:tc>
          <w:tcPr>
            <w:tcW w:w="760" w:type="dxa"/>
            <w:vAlign w:val="bottom"/>
            <w:tcBorders>
              <w:bottom w:val="single" w:sz="8" w:color="auto"/>
            </w:tcBorders>
          </w:tcPr>
          <w:p>
            <w:pPr>
              <w:spacing w:after="0"/>
              <w:rPr>
                <w:sz w:val="20"/>
                <w:szCs w:val="20"/>
                <w:color w:val="auto"/>
              </w:rPr>
            </w:pPr>
          </w:p>
        </w:tc>
      </w:tr>
      <w:tr>
        <w:trPr>
          <w:trHeight w:val="236"/>
        </w:trPr>
        <w:tc>
          <w:tcPr>
            <w:tcW w:w="674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20"/>
                <w:szCs w:val="20"/>
                <w:color w:val="auto"/>
              </w:rPr>
            </w:pPr>
          </w:p>
        </w:tc>
      </w:tr>
      <w:tr>
        <w:trPr>
          <w:trHeight w:val="23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Application Software</w:t>
            </w: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2,598.5</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2,326.8</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Software</w:t>
            </w:r>
          </w:p>
        </w:tc>
        <w:tc>
          <w:tcPr>
            <w:tcW w:w="1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r>
      <w:tr>
        <w:trPr>
          <w:trHeight w:val="24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1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4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r>
      <w:tr>
        <w:trPr>
          <w:trHeight w:val="237"/>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3,471.6</w:t>
            </w:r>
          </w:p>
        </w:tc>
        <w:tc>
          <w:tcPr>
            <w:tcW w:w="140" w:type="dxa"/>
            <w:vAlign w:val="bottom"/>
          </w:tcPr>
          <w:p>
            <w:pPr>
              <w:spacing w:after="0"/>
              <w:rPr>
                <w:sz w:val="20"/>
                <w:szCs w:val="20"/>
                <w:color w:val="auto"/>
              </w:rPr>
            </w:pP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3,174.0</w:t>
            </w:r>
          </w:p>
        </w:tc>
      </w:tr>
      <w:tr>
        <w:trPr>
          <w:trHeight w:val="21"/>
        </w:trPr>
        <w:tc>
          <w:tcPr>
            <w:tcW w:w="6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the Nine Months Ended September 30, 2025</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revenues for the nine months ended September 30, 2026 were $6,376.0 as compared to $5,843.9 for the nine months ended September 30, 2025, an increase of 9.1%. The components of revenue growth for the nine months ended September 30, 2026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Application</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Network Software</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Technology Enabled</w:t>
            </w:r>
          </w:p>
        </w:tc>
        <w:tc>
          <w:tcPr>
            <w:tcW w:w="15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Roper</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680" w:type="dxa"/>
            <w:vAlign w:val="bottom"/>
            <w:gridSpan w:val="2"/>
            <w:vMerge w:val="continue"/>
          </w:tcPr>
          <w:p>
            <w:pPr>
              <w:spacing w:after="0"/>
              <w:rPr>
                <w:sz w:val="21"/>
                <w:szCs w:val="21"/>
                <w:color w:val="auto"/>
              </w:rPr>
            </w:pPr>
          </w:p>
        </w:tc>
        <w:tc>
          <w:tcPr>
            <w:tcW w:w="17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Growth</w:t>
            </w:r>
          </w:p>
        </w:tc>
        <w:tc>
          <w:tcPr>
            <w:tcW w:w="15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9"/>
              </w:rPr>
              <w:t>8.7 %</w:t>
            </w:r>
          </w:p>
        </w:tc>
        <w:tc>
          <w:tcPr>
            <w:tcW w:w="10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9"/>
              </w:rPr>
              <w:t>8.5 %</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9"/>
              </w:rPr>
              <w:t>9.1 %</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Impacts of:</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15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5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6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Revenue Growth</w:t>
            </w:r>
          </w:p>
        </w:tc>
        <w:tc>
          <w:tcPr>
            <w:tcW w:w="158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9"/>
              </w:rPr>
              <w:t>5.3 %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9"/>
              </w:rPr>
              <w:t>8.0 %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9"/>
              </w:rPr>
              <w:t>5.8 %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our Application Software segment, net revenues in the nine months ended September 30, 2026 grew 8.7% to $3,612.0 as compared to $3,324.1 in the nine months ended September 30, 2025. The growth of 5.3% in organic revenues was broad-based across the segment, led by our application software businesses serving the legal, project-based private sector, higher education, and property and casualty insurance markets. Growth from acquisitions was led by our 2025 acquisitions, most notably CentralReach which became organic in the third quarter of 2026. Gross margin increased to 69.5% in the nine months ended September 30, 2026 as compared to 68.4% in the nine months ended September 30, 2025 due primarily to improved leverage on higher organic revenues. SG&amp;A expenses as a percentage of net revenues increased to 41.8% in the nine months ended September 30, 2026 as compared to 41.5% in the nine months ended September 30, 2025, due primarily to higher amortization of acquired intangibles from the 2025 acquisition of CentralReach, partially offset by improved operating leverage on higher organic revenues. As a result, operating margin was 27.7% in the nine months ended September 30, 2026 as compared to 26.9% in the nine months ended September 30, 2025.</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Network Software segment, net revenues in the nine months ended September 30, 2026 grew 11.1% to $1,304.6 as compared to $1,174.7 in the nine months ended September 30, 2025, led by contributions from 2025 acquisitions, most notably Subsplash. The growth of 4.6% in organic revenues was led by our network software businesses serving the freight match, construction, long-term care pharmacy, and media and entertainment markets. These increases were partially offset by declines in our alternate site group purchasing business, and to a lesser extent, our business serving the life insurance/annuities market. Gross margin increased to 84.5% in the nine months ended September 30, 2026 as compared to 83.7% in the nine months ended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September 30, 2025 due primarily to lower amortization associated with fully amortized acquired intangibles and improved leverage on higher organic revenues, partially offset by margin profiles associated with our 2025 acquisitions, most notably payments revenue mix from Subsplash as well as the Convoy platform within our freight match software business. SG&amp;A expenses as a percentage of net revenues increased to 43.1% in the nine months ended September 30, 2026 as compared to 39.9% in the nine months ended September 30, 2025 due primarily to SG&amp;A profiles associated with our acquisitions, including higher amortization of acquired intangibles. As a result, operating margin was 41.4% in the nine months ended September 30, 2026 as compared to 43.8% in the nine months ended September 30, 2025.</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our Technology Enabled Products segment, net revenues in the nine months ended September 30, 2026 grew 8.5% to $1,459.4 as compared to $1,345.1 in the nine months ended September 30, 2025. The growth of 8.0% in organic revenues was led by our medical products businesses, highlighted by our precision measurement and airway management businesses. These increases were partially offset by a decline in our water meter technology business. Gross margin decreased to 57.1% in the nine months ended September 30, 2026 as compared to 58.3% in the nine months ended September 30, 2025 due primarily to product mix within our medical products businesses weighted more towards consumables and input cost pressures at our water meter technology business, partially offset by revenue mix across the segment. SG&amp;A expenses as a percentage of net revenues increased to 24.1% in the nine months ended September 30, 2026 as compared to 23.5% in the nine months ended September 30, 2025 due primarily to reduced operating leverage associated with our water meter technology business. The resulting operating margin was 32.9% in the nine months ended September 30, 2026 as compared to 34.8% in the nine months ended September 30, 2025.</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Corporate expenses increased to $244.1 in the nine months ended September 30, 2026 as compared to $229.3 in the nine months ended September 30, 2025. The dollar increase was due primarily to higher stock-based compensation expense, partially offset by a reduction in fees for professional services and lower acquisition-related expenses. As a percentage of net revenues, corporate expenses decreased to 3.8% of net revenues in the nine months ended September 30, 2026 as compared to 3.9% of net revenues in the nine months ended September 30, 2025.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increased to $317.4 for the nine months ended September 30, 2026 as compared to $231.7 for the nine months ended September 30, 2025 due primarily to higher average debt balances and a higher weighted-average interest rate on our senior notes.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Equity investment activity, net, was a gain of $1,058.7 in the nine months ended September 30, 2026 due primarily to an increase in the fair value of our equity investment. The increase was primarily due to updated valuation assumptions made prior to the closing of the Indicor Instrumentation transaction. Equity investment activity, net, was a loss of $14.9 in the nine months ended September 30, 2025 due primarily to a $16.3 decrease in the fair value of our equity investment in Indicor.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as a percentage of pretax earnings decreased to 14.0% for the nine months ended September 30, 2026 as compared to 20.9% for the nine months ended September 30, 2025, primarily due to net tax benefits recognized in connection with a change in our outside basis in Indicor, resulting from the Indicor Instrumentation transaction, and legal entity restructuring.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currency amounts are in millions, except per share data or as otherwise specified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cash flows for the nine months ended September 30, 2026 and 2025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7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00" w:type="dxa"/>
            <w:vAlign w:val="bottom"/>
            <w:tcBorders>
              <w:bottom w:val="single" w:sz="8" w:color="auto"/>
            </w:tcBorders>
          </w:tcPr>
          <w:p>
            <w:pPr>
              <w:spacing w:after="0"/>
              <w:rPr>
                <w:sz w:val="20"/>
                <w:szCs w:val="20"/>
                <w:color w:val="auto"/>
              </w:rPr>
            </w:pPr>
          </w:p>
        </w:tc>
      </w:tr>
      <w:tr>
        <w:trPr>
          <w:trHeight w:val="23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20"/>
                <w:szCs w:val="20"/>
                <w:color w:val="auto"/>
              </w:rPr>
            </w:pPr>
          </w:p>
        </w:tc>
      </w:tr>
      <w:tr>
        <w:trPr>
          <w:trHeight w:val="237"/>
        </w:trPr>
        <w:tc>
          <w:tcPr>
            <w:tcW w:w="6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activities</w:t>
            </w: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1,882.2</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1,802.3</w:t>
            </w:r>
          </w:p>
        </w:tc>
      </w:tr>
      <w:tr>
        <w:trPr>
          <w:trHeight w:val="243"/>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Investing activities</w:t>
            </w: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140" w:type="dxa"/>
            <w:vAlign w:val="bottom"/>
          </w:tcPr>
          <w:p>
            <w:pPr>
              <w:spacing w:after="0"/>
              <w:rPr>
                <w:sz w:val="21"/>
                <w:szCs w:val="21"/>
                <w:color w:val="auto"/>
              </w:rPr>
            </w:pP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(3,354.0)</w:t>
            </w:r>
          </w:p>
        </w:tc>
      </w:tr>
      <w:tr>
        <w:trPr>
          <w:trHeight w:val="243"/>
        </w:trPr>
        <w:tc>
          <w:tcPr>
            <w:tcW w:w="6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Financing activities</w:t>
            </w: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1,654.3</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by 4% to $1,882.2 in the nine months ended September 30, 2026 as compared to $1,802.3 in the nine months ended September 30, 2025 due primarily to higher net earnings before non-cash expenses and lower cash income taxes paid, as 2025 included $30.2 of cash taxes paid associated with the sale of our equity method investment in Certinia, partially offset by changes in deferred revenue.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during the nine months ended September 30, 2026 was primarily from cash proceeds received upon closing of the Indicor Instrumentation transaction, partially offset by cash paid for the acquisitions of Origo and Playground. Cash used in investing activities during the nine months ended September 30, 2025 was primarily for the acquisitions of CentralReach, Subsplash, Convoy, and Orchard Software.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during the nine months ended September 30, 2026 primarily consisted of repurchases of our common stock as well as dividend payments, partially offset by net borrowings under our unsecured revolving credit facility. Cash provided by financing activities during the nine months ended September 30, 2025 was primarily from the issuance of senior notes in August 2025, net borrowings under our unsecured revolving credit facility primarily to fund the acquisitions of CentralReach and Subsplash, and net proceeds from stock-based compensation, partially offset by senior notes repaid at maturity in September 2025 and dividend payments.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working capital</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working capital (total current assets, excluding cash, less total current liabilities, excluding debt) was negative $1,520.8 at September 30, 2026 as compared to negative $1,389.7 at December 31, 2025. The change in net working capital was primarily driven by changes in tax-related balances, including income taxes payable associated with the Indicor Instrumentation transaction, partially offset by changes in contract balances within our Application Software segment primarily due to the timing of payments and invoicing related to SaaS and PCS renewals, as well as an increase in other current assets primarily due to estimated Indicor Instrumentation proceeds held in escrow.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consisted of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r>
      <w:tr>
        <w:trPr>
          <w:trHeight w:val="23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Fixed-rate senior notes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revolving credit facility</w:t>
            </w:r>
          </w:p>
        </w:tc>
        <w:tc>
          <w:tcPr>
            <w:tcW w:w="24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4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240" w:type="dxa"/>
            <w:vAlign w:val="bottom"/>
            <w:shd w:val="clear" w:color="auto" w:fill="CCEEFF"/>
          </w:tcPr>
          <w:p>
            <w:pPr>
              <w:spacing w:after="0"/>
              <w:rPr>
                <w:sz w:val="21"/>
                <w:szCs w:val="21"/>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3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net of deferred financing costs</w:t>
            </w:r>
          </w:p>
        </w:tc>
        <w:tc>
          <w:tcPr>
            <w:tcW w:w="240" w:type="dxa"/>
            <w:vAlign w:val="bottom"/>
            <w:shd w:val="clear" w:color="auto" w:fill="CCEEFF"/>
          </w:tcPr>
          <w:p>
            <w:pPr>
              <w:spacing w:after="0"/>
              <w:rPr>
                <w:sz w:val="20"/>
                <w:szCs w:val="20"/>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9,719.7</w:t>
            </w:r>
          </w:p>
        </w:tc>
      </w:tr>
      <w:tr>
        <w:trPr>
          <w:trHeight w:val="24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net of deferred financing costs</w:t>
            </w:r>
          </w:p>
        </w:tc>
        <w:tc>
          <w:tcPr>
            <w:tcW w:w="2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(1,415.1)</w:t>
            </w:r>
          </w:p>
        </w:tc>
      </w:tr>
      <w:tr>
        <w:trPr>
          <w:trHeight w:val="261"/>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financing costs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30, 2026, the Company entered into the Credit Agreement, which replaced the previous $3,500.0 unsecured credit facility, dated as of July 21, 2022. The Credit Agreement comprises a five-year $3,500.0 unsecured revolving credit facility, which includes availability of up to $150.0 for letters of credit. Loans under the unsecured credit facility are available in dollars, and letters of credit will be available in dollars and other currencies to be agreed. We may also, subject to compliance with specified conditions, request additional term loans or revolving credit commitments in an aggregate amount not to exceed $1,000.0.</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interest rate on borrowings under the new $3,500.0 unsecured revolving credit facility is calculated based upon various recognized indices plus a margin as defined in the Credit Agreement. At September 30, 2026, we had $6.9 of outstanding letters of credit.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existing cash balances, together with cash generated by our operations and amounts available under our credit facility, will be sufficient to fund our operating requirements for the foreseeable future.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 compliance with all debt covenants related to our new and previous unsecured credit facilities throughout their respective periods of effectiveness during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Total debt, net of deferred financing costs was $9,719.7 at September 30, 2026 as compared to $9,301.0 at December 31, 2025. Our total debt increased at September 30, 2026 as compared to December 31, 2025 due primarily to net borrowings of $400.0 on our unsecured revolving credit facility. Our leverage is presented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Pr>
          <w:p>
            <w:pPr>
              <w:spacing w:after="0"/>
              <w:rPr>
                <w:sz w:val="17"/>
                <w:szCs w:val="17"/>
                <w:color w:val="auto"/>
              </w:rPr>
            </w:pP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65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net of deferred financing costs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9,719.7</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9,301.0</w:t>
            </w:r>
          </w:p>
        </w:tc>
      </w:tr>
      <w:tr>
        <w:trPr>
          <w:trHeight w:val="24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(311.0)</w:t>
            </w: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(297.4)</w:t>
            </w:r>
          </w:p>
        </w:tc>
      </w:tr>
      <w:tr>
        <w:trPr>
          <w:trHeight w:val="23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360" w:type="dxa"/>
            <w:vAlign w:val="bottom"/>
            <w:shd w:val="clear" w:color="auto" w:fill="CCEEFF"/>
          </w:tcPr>
          <w:p>
            <w:pPr>
              <w:spacing w:after="0"/>
              <w:rPr>
                <w:sz w:val="20"/>
                <w:szCs w:val="20"/>
                <w:color w:val="auto"/>
              </w:rPr>
            </w:pP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9,408.7</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9,003.6</w:t>
            </w:r>
          </w:p>
        </w:tc>
      </w:tr>
      <w:tr>
        <w:trPr>
          <w:trHeight w:val="24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19,172.6</w:t>
            </w: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19,881.5</w:t>
            </w:r>
          </w:p>
        </w:tc>
      </w:tr>
      <w:tr>
        <w:trPr>
          <w:trHeight w:val="262"/>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capital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28,581.3</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28,885.1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 / Total net capital</w:t>
            </w:r>
          </w:p>
        </w:tc>
        <w:tc>
          <w:tcPr>
            <w:tcW w:w="36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cash and cash equivalents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relation to our total cash and cash equivalents, amounts held at our foreign subsidiaries represented 65.0% or $202.2 at September 30, 2026 as compared to 57.6% or $171.2 at December 31, 2025. The increase in the amount of foreign cash and cash equivalents was primarily due to cash generated at our foreign subsidiaries during the nine months ended September 30, 2026, partially offset by cash repatriation of $191.8. We intend to repatriate substantially all historical and future foreign earnings that can be repatriated without incremental U.S. federal tax cost.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and capitalized software expenditures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expenditures were $35.4 for the nine months ended September 30, 2026 as compared to $37.6 for the nine months ended September 30, 2025. Capitalized software expenditures were $46.8 for the nine months ended September 30, 2026 as compared to $42.8 for the nine months ended September 30, 2025. We expect the aggregate of capital expenditures and capitalized software expenditures for 2026 to be comparable to prior years as a percentage of net revenues.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legislation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U.S. government enacted H.R. 1, the One Big Beautiful Bill Act, which introduced tax reform provisions that amend, eliminate, or extend certain tax rules under the Inflation Reduction Act and the Tax Cuts and Jobs Act. Legislative changes include the repeal of the requirement to capitalize and amortize domestic research and development expenditures under Internal Revenue Code Section 174. The legislation includes multiple effective dates and, as enacted, did not have a material impact on our effective tax rates for the three or nine months ended September 30, 2026, and is not expected to have a significant impact on our annual effective tax rate in full year 2026 or thereafter.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2026, our Board approved an additional $3,000.0 in share repurchase authorization under the share repurchase program.</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repurchased 7.865 shares of our common stock for an aggregate purchase price of $2,724.1 and an average price paid per share of $346.34, excluding excise tax and broker commissions. No shares were repurchased during the third quarter of 2026. As of September 30, 2026, $2,775.9 of the total amount authorized under the share repurchase program remained available for future repurchases.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Indicor Instrumentation transaction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our equity investment, upon closing of the Indicor Instrumentation transaction on August 26, 2026, Roper received pre-tax cash proceeds of $1,239.2, and expects to receive approximately $33 upon escrow release. Roper expects to pay approximately $150 of cash income taxes related to the Indicor Instrumentation transaction.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Planned Indicor Flow Controls transaction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our equity investment, following closing of the planned Indicor Flow Controls transaction, Roper expects to receive pre-tax cash proceeds of approximately $600 (estimated $480 net of income taxes), including current estimates for purchase price adjustments and transaction costs which are subject to finalization.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 geopolitical and economic uncertainties, including inflation, tariffs and changes in trade policy, supply chain disruptions, and labor shortages, could adversely affect our business prospects. An armed conflict (such as the ongoing conflicts in Ukraine and the Middle East), significant terrorist attack, other global conflict, civil unrest, widespread cybersecurity event or information technology system failure, or public health crisis could cause changes in world economies that would adversely affect us. It is impossible to isolate each of these potential factors’ future effects on current economic conditions or any of our businesses. It is also impossible to predict with any reasonable degree of certainty what or when any additional events may occur that also would similarly disrupt the economy and have an adverse impact on our businesses.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internally generated cash flows and the remaining availability under our unsecured credit facility will be adequate to finance our normal operating requirements. We maintain an active acquisition program; however, future acquisitions will be dependent on numerous factors and it is not feasible to reasonably estimate if or when any such acquisitions will occur and what the impact will be on our business, financial condition, and results of operations. Such acquisitions may be financed by the use of existing credit agreements, future cash flows from operations, future divestitures, the proceeds from the issuance of new debt or equity securities, or any combination of these methods, the terms and availability of which will be subject to market and economic conditions generally.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that our businesses will generate positive cash flows from operating activities, and that these cash flows will permit the reduction of currently outstanding debt in accordance with the repayment schedule. However, the rate at which we can reduce our debt (and reduce the associated interest expense) will be affected by, among other things, the financing and operating requirements of any new acquisitions, the financial performance of our existing companies, any allocation of capital toward share repurchases, the impact of the aforementioned geopolitical and economic uncertainties, and the financial markets generally. None of these factors can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in our Annual Report. There were no material changes during the nine months ended September 30, 2026.</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SEC rules, we have evaluated the effectiveness of the design and operation of our disclosure controls and procedures as of the end of the period covered by this Quarterly Report (“Evaluation Date”). This evaluation was carried out under the supervision and with the participation of our management, including our principal executive officer and principal financial officer. Based on this evaluation as of the Evaluation Date, these officers have concluded that the design and operation of our disclosure controls and procedures are effective.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timely decisions regarding required disclosure.</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Quarterly Report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pertaining to legal proceedings can be found in Note 11 of the Notes to Condensed Consolidated Financial Statements included elsewhere in this Quarterly Report and is incorporated by reference herein.</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regarding risk factors can be found in “Management’s Discussion and Analysis of Financial Condition and Results of Operations – Information About Forward-Looking Statements,” in Part I, Item 2 of this Quarterly Report, in Part I, Item 1A of our 2025 Annual Report on Form 10-K, and in Part II, Item 1A of our Quarterly Report on Form 10-Q for the quarter ended June 30, 2026. We are providing the following updated risk factor, in its entirety, to reflect changes to the corresponding risk factor previously disclosed in those prior reports. Except for this update, there have been no other material changes to the risk factors disclosed in those prior reports as of the date of this Quarterly Report.</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and technology, including third-party cloud computing platforms and other third-party business partners, for many of our business operations which could fail and cause disruption to our business operations.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operations are dependent upon information technology networks and systems to securely transmit, process, and store information and to communicate among our locations around the world and with clients, suppliers, and business partners. A shutdown of, or inability to access, one or more of our facilities, a power outage, or a failure of one or more of our information technology, telecommunications, or other systems could significantly impair our ability to perform such functions on a timely basis. Our compliance, cybersecurity, and data privacy programs, cybersecurity technology, and risk management cannot eliminate all system risk. Credential compromise and identity-based attacks represent risks, and while we deploy identity threat protection and multi-factor authentication across our enterprise systems, determined attackers may still gain unauthorized access through sophisticated credential theft, session hijacking, social engineering, or privilege escalation techniques. Cybersecurity incidents including ransomware attacks, insider threats, system disruptions, exposure of data through human error, and configuration errors could result in the misappropriation or corruption of data and assets, or disruptions to our business strategy, results of operations, and financial condition, and may require notification to customers and regulators with associated investigation, remediation, and monitoring obligations. These disruptions may include, but are not limited to, interruptions to business operations, loss of intellectual property, release of confidential or other sensitive information, alteration or corruption of data or systems, costs related to remediation or the payment of ransom, litigation (including individual claims, consumer class actions, or commercial litigation), administrative, civil, or criminal investigations or actions, regulatory intervention and sanctions or fines, investigation and remediation costs, and prolonged negative publicity. While we have experienced disruptions and litigation relating to the exposure of data, to date, management has not identified any material impact on the Company from these disruptions.</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business partners such as third-party data centers and cloud platforms, such as Amazon Web Services, Google Cloud Platform, Microsoft Azure, and Oracle Cloud to host certain enterprise and customer systems. Our software development and business operations rely on open-source components, third-party software libraries, and vendor dependencies that could contain undisclosed vulnerabilities, be subject to supply chain attacks, or become unavailable, potentially affecting our products, hosted services, and internal systems. Our software development lifecycle and deployment infrastructure, including source code repositories, continuous integration and continuous deployment (“CI/CD”) systems, build pipelines, code-signing processes, developer tools (including AI coding tools), automated testing environments, and other software development infrastructure, may be targeted by threat actors seeking to compromise software integrity, gain unauthorized access to credentials or cloud environments, introduce malicious code, exfiltrate sensitive information, or disrupt operations. Because these systems often integrate with third-party platforms, open-source components, cloud-based development tools, and trusted vendor ecosystems, vulnerabilities or compromises affecting software suppliers, developer environments, automated workflows, or software supply chains could propagate across internal systems, hosted services, or customer-facing products before detection. We have limited ability to monitor these third parties’ security measures or the full impact of the systemic risk, and concentration with a limited number of providers increases our exposure to outages and pricing changes. If any third-party system or cloud platform that we use is unavailable to us for any reason, our customers may experience service interruptions, which could significantly impact our operations, reputation, business, and financial results. Failure of our systems or those of our third-party service providers may result in interruptions in our service and loss of data or processing capabilities, all of which may cause a loss in customers, refunds to be sought with respect to product fees, and/or material harm to our reputation and operating results. While certain of our businesses have experienced temporary disruptions, management has not identified any material impact on the Company from such disruptions to date.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jc w:val="both"/>
        <w:spacing w:after="0" w:line="251" w:lineRule="auto"/>
        <w:rPr>
          <w:sz w:val="20"/>
          <w:szCs w:val="20"/>
          <w:color w:val="auto"/>
        </w:rPr>
      </w:pPr>
      <w:r>
        <w:rPr>
          <w:rFonts w:ascii="Times New Roman" w:cs="Times New Roman" w:eastAsia="Times New Roman" w:hAnsi="Times New Roman"/>
          <w:sz w:val="18"/>
          <w:szCs w:val="18"/>
          <w:color w:val="auto"/>
        </w:rPr>
        <w:t>Global cybersecurity threats are rapidly evolving and attacks to identities, networks, platforms, systems, and endpoints can range from uncoordinated individual attempts to sophisticated and targeted measures known as advanced persistent threats, directed at the Company, its businesses, its customers, and/or its third-party service providers, including, but not limited to, cloud providers and providers of network management services. These may include such things as unauthorized access, phishing attacks, denial of service, insider threats, data exfiltration and extortion, introduction of malware or ransomware, and other disruptive problems caused by threat actors. Threat actors are increasingly targeting trusted software providers, managed service providers, cloud platforms, software repositories, identity providers, developer tools, and other third-party technology ecosystems used by enterprises to develop, host, authenticate, and deploy software and services. Threat actors are also increasingly using AI to automate cyberattacks, enhance phishing and business email compromise campaigns, create convincing synthetic media, accelerate malware development, identify software vulnerabilities, and evade traditional security controls. As these capabilities continue to evolve, they may increase the frequency, sophistication, and effectiveness of attacks directed at the Company, its customers, and its third-party service providers. We face emerging risks from AI-powered attacks, including deepfakes used to impersonate employees or customers, AI-assisted social engineering and hacking activity, prompt injection attempts against AI systems, and data poisoning targeting machine learning models. These sophisticated attack techniques may bypass traditional security controls. Additionally, zero-day vulnerabilities, which are previously unknown security flaws with no available patches, pose risks that cannot be fully mitigated through our standard vulnerability management processes, requiring rapid detection and response capabilities to minimize potential damage. While we have experienced and expect to continue to experience these types of cybersecurity threats and incidents, management has not identified any cybersecurity incidents that have been material to the Company to date. We seek to deploy measures to protect, detect, respond, and recover from cybersecurity threats and incidents, including identity and access controls, employee training, data protection, vulnerability management, incident response, secure product development, continuous monitoring of our networks, platforms, endpoints, systems, and software development environments, and maintenance of ransomware resilient backup and recovery capabilities. Our customers are increasingly requiring cybersecurity protections and mandating cybersecurity standards in our products and services, and we may incur additional costs to comply with such demands. Despite these efforts, we can make no assurances that we will be able to mitigate, detect, prevent, timely and adequately respond, or fully recover from the negative effects of cybersecurity incidents, and such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include financial loss, reputational damage, damage to our IT systems, data loss, litigation, theft of intellectual property, regulatory fines, customer attrition, diminution in the value of our investments in research and development, and increased cybersecurity protection and remediation costs, which may not be fully covered by insurance and could adversely affect our competitiveness and results of operations. Any imposition of liability, particularly liability that is not covered by insurance or is in excess of insurance coverage, could materially harm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2025, our Board of Directors approved a share repurchase program, as announced on October 23, 2025, for the repurchase of up to $3,000.0 of our common stock. In April 2026, our Board of Directors approved an additional $3,000.0 in share repurchase authorization under the repurchase program, as announced on April 23, 2026. The repurchase program does not have a fixed expiration date, does not obligate the Company to acquire any specific number of shares, and may be suspended at any time at the Company’s discretion. Under the program, shares may be repurchased through open market purchases or privately negotiated transactions, including under repurchase plans complying with Rule 10b5-1 under the Exchange Act. There were no repurchases during the three months ended September 30, 2026. As of September 30, 2026, $2,775.9 remains available for repurchases under the program.</w:t>
      </w:r>
    </w:p>
    <w:p>
      <w:pPr>
        <w:spacing w:after="0" w:line="2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no director or officer of the Company adopted, modified,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70"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31.1</w:t>
            </w:r>
          </w:p>
        </w:tc>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Chief Executive Officer, filed herewith.</w:t>
            </w:r>
          </w:p>
        </w:tc>
      </w:tr>
      <w:tr>
        <w:trPr>
          <w:trHeight w:val="439"/>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31.2</w:t>
            </w:r>
          </w:p>
        </w:tc>
        <w:tc>
          <w:tcPr>
            <w:tcW w:w="61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the Chief Financial Officer, filed herewith.</w:t>
            </w:r>
          </w:p>
        </w:tc>
        <w:tc>
          <w:tcPr>
            <w:tcW w:w="40" w:type="dxa"/>
            <w:vAlign w:val="bottom"/>
            <w:tcBorders>
              <w:top w:val="single" w:sz="8" w:color="0000FF"/>
            </w:tcBorders>
          </w:tcPr>
          <w:p>
            <w:pPr>
              <w:spacing w:after="0"/>
              <w:rPr>
                <w:sz w:val="24"/>
                <w:szCs w:val="24"/>
                <w:color w:val="auto"/>
              </w:rPr>
            </w:pPr>
          </w:p>
        </w:tc>
        <w:tc>
          <w:tcPr>
            <w:tcW w:w="1000" w:type="dxa"/>
            <w:vAlign w:val="bottom"/>
          </w:tcPr>
          <w:p>
            <w:pPr>
              <w:spacing w:after="0"/>
              <w:rPr>
                <w:sz w:val="24"/>
                <w:szCs w:val="24"/>
                <w:color w:val="auto"/>
              </w:rPr>
            </w:pPr>
          </w:p>
        </w:tc>
      </w:tr>
      <w:tr>
        <w:trPr>
          <w:trHeight w:val="439"/>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32.1</w:t>
            </w:r>
          </w:p>
        </w:tc>
        <w:tc>
          <w:tcPr>
            <w:tcW w:w="7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the Chief Executive and Chief Financial Officers, furnished herewith.</w:t>
            </w:r>
          </w:p>
        </w:tc>
      </w:tr>
      <w:tr>
        <w:trPr>
          <w:trHeight w:val="479"/>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101.INS</w:t>
            </w:r>
          </w:p>
        </w:tc>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59"/>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101.SCH</w:t>
            </w:r>
          </w:p>
        </w:tc>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9"/>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101.CAL</w:t>
            </w:r>
          </w:p>
        </w:tc>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59"/>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101.DEF</w:t>
            </w:r>
          </w:p>
        </w:tc>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59"/>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101.LAB</w:t>
            </w:r>
          </w:p>
        </w:tc>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59"/>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101.PRE</w:t>
            </w:r>
          </w:p>
        </w:tc>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25" w:lineRule="exact"/>
        <w:rPr>
          <w:sz w:val="20"/>
          <w:szCs w:val="20"/>
          <w:color w:val="auto"/>
        </w:rPr>
      </w:pPr>
    </w:p>
    <w:p>
      <w:pPr>
        <w:ind w:left="1240" w:hanging="548"/>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tc>
        <w:tc>
          <w:tcPr>
            <w:tcW w:w="56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20"/>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 Neil Hunn</w:t>
            </w:r>
          </w:p>
        </w:tc>
        <w:tc>
          <w:tcPr>
            <w:tcW w:w="56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8"/>
              </w:rPr>
              <w:t>November 2, 2026</w:t>
            </w:r>
          </w:p>
        </w:tc>
      </w:tr>
      <w:tr>
        <w:trPr>
          <w:trHeight w:val="243"/>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 Neil Hunn</w:t>
            </w:r>
          </w:p>
        </w:tc>
        <w:tc>
          <w:tcPr>
            <w:tcW w:w="56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60" w:type="dxa"/>
            <w:vAlign w:val="bottom"/>
          </w:tcPr>
          <w:p>
            <w:pPr>
              <w:spacing w:after="0"/>
              <w:rPr>
                <w:sz w:val="21"/>
                <w:szCs w:val="21"/>
                <w:color w:val="auto"/>
              </w:rPr>
            </w:pPr>
          </w:p>
        </w:tc>
      </w:tr>
      <w:tr>
        <w:trPr>
          <w:trHeight w:val="372"/>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Jason P. Conley</w:t>
            </w:r>
          </w:p>
        </w:tc>
        <w:tc>
          <w:tcPr>
            <w:tcW w:w="56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8"/>
              </w:rPr>
              <w:t>November 2, 2026</w:t>
            </w:r>
          </w:p>
        </w:tc>
      </w:tr>
      <w:tr>
        <w:trPr>
          <w:trHeight w:val="243"/>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P. Conley</w:t>
            </w:r>
          </w:p>
        </w:tc>
        <w:tc>
          <w:tcPr>
            <w:tcW w:w="56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160" w:type="dxa"/>
            <w:vAlign w:val="bottom"/>
          </w:tcPr>
          <w:p>
            <w:pPr>
              <w:spacing w:after="0"/>
              <w:rPr>
                <w:sz w:val="21"/>
                <w:szCs w:val="21"/>
                <w:color w:val="auto"/>
              </w:rPr>
            </w:pPr>
          </w:p>
        </w:tc>
      </w:tr>
      <w:tr>
        <w:trPr>
          <w:trHeight w:val="358"/>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Brandon Cross</w:t>
            </w:r>
          </w:p>
        </w:tc>
        <w:tc>
          <w:tcPr>
            <w:tcW w:w="56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8"/>
              </w:rPr>
              <w:t>November 2, 2026</w:t>
            </w:r>
          </w:p>
        </w:tc>
      </w:tr>
      <w:tr>
        <w:trPr>
          <w:trHeight w:val="243"/>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Brandon Cross</w:t>
            </w:r>
          </w:p>
        </w:tc>
        <w:tc>
          <w:tcPr>
            <w:tcW w:w="56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1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88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Neil Hunn, certify that:</w:t>
      </w:r>
    </w:p>
    <w:p>
      <w:pPr>
        <w:spacing w:after="0" w:line="252"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Roper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360"/>
        <w:spacing w:after="0"/>
        <w:tabs>
          <w:tab w:leader="none" w:pos="544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/s/ 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17145</wp:posOffset>
            </wp:positionV>
            <wp:extent cx="32321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2150" cy="1714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L. Neil Hunn</w:t>
      </w:r>
    </w:p>
    <w:p>
      <w:pPr>
        <w:spacing w:after="0" w:line="3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P. Conley, certify that:</w:t>
      </w:r>
    </w:p>
    <w:p>
      <w:pPr>
        <w:spacing w:after="0" w:line="252"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Roper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360"/>
        <w:spacing w:after="0"/>
        <w:tabs>
          <w:tab w:leader="none" w:pos="544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7"/>
          <w:szCs w:val="17"/>
          <w:color w:val="auto"/>
        </w:rPr>
        <w:t>/s/ Jason P.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17145</wp:posOffset>
            </wp:positionV>
            <wp:extent cx="32321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2150" cy="1714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Jason P. Conley</w:t>
      </w:r>
    </w:p>
    <w:p>
      <w:pPr>
        <w:spacing w:after="0" w:line="3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3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Roper Technologies, Inc. (the “Company”) on Form 10-Q for the period ended September 30, 2026, as filed with the Securities and Exchange Commission on the date hereof (the “Report”), L. Neil Hunn, Chief Executive Officer of the Company, and Jason P. Conley, Chief Financial Officer of the Company, each hereby certifies, pursuant to 18 U.S.C. Section 1350, as adopted pursuant to Section 906 of the Sarbanes-Oxley Act of 2002, to the best of his knowledge that:</w:t>
      </w:r>
    </w:p>
    <w:p>
      <w:pPr>
        <w:spacing w:after="0" w:line="20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7"/>
          <w:szCs w:val="17"/>
          <w:color w:val="auto"/>
        </w:rPr>
        <w:t>/s/ 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 Neil Hunn</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0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Jason P.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Jason P. Conley</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pursuant to Section 906 of the Sarbanes-Oxley Act of 2002 and shall not be deemed filed for purposes of Section 18 of the Exchange Act, or otherwise subject to the liability of that section. This certification shall not be deemed to be incorporated by reference into any filing under the Securities Act or the Exchange Act, except to the extent that Roper Technologies, Inc. specifically incorporates it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04"/>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2026-11-02T16:17:51Z</dcterms:created>
  <dcterms:modified xsi:type="dcterms:W3CDTF">2026-11-02T16:17:51Z</dcterms:modified>
</cp:coreProperties>
</file>