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1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For the fiscal year ended December 31, 2025</w:t>
      </w:r>
    </w:p>
    <w:p>
      <w:pPr>
        <w:spacing w:after="0" w:line="17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or</w:t>
      </w:r>
    </w:p>
    <w:p>
      <w:pPr>
        <w:spacing w:after="0" w:line="216"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08" w:lineRule="exact"/>
        <w:rPr>
          <w:sz w:val="24"/>
          <w:szCs w:val="24"/>
          <w:color w:val="auto"/>
        </w:rPr>
      </w:pPr>
    </w:p>
    <w:p>
      <w:pPr>
        <w:ind w:left="660"/>
        <w:spacing w:after="0"/>
        <w:tabs>
          <w:tab w:leader="none" w:pos="4180" w:val="left"/>
        </w:tabs>
        <w:rPr>
          <w:sz w:val="20"/>
          <w:szCs w:val="20"/>
          <w:color w:val="auto"/>
        </w:rPr>
      </w:pPr>
      <w:r>
        <w:rPr>
          <w:rFonts w:ascii="Times New Roman" w:cs="Times New Roman" w:eastAsia="Times New Roman" w:hAnsi="Times New Roman"/>
          <w:sz w:val="22"/>
          <w:szCs w:val="22"/>
          <w:color w:val="auto"/>
        </w:rPr>
        <w:t>For the transition period from</w:t>
      </w:r>
      <w:r>
        <w:rPr>
          <w:sz w:val="20"/>
          <w:szCs w:val="20"/>
          <w:color w:val="auto"/>
        </w:rPr>
        <w:tab/>
      </w:r>
      <w:r>
        <w:rPr>
          <w:rFonts w:ascii="Times New Roman" w:cs="Times New Roman" w:eastAsia="Times New Roman" w:hAnsi="Times New Roman"/>
          <w:sz w:val="19"/>
          <w:szCs w:val="19"/>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2115820</wp:posOffset>
            </wp:positionH>
            <wp:positionV relativeFrom="paragraph">
              <wp:posOffset>-13970</wp:posOffset>
            </wp:positionV>
            <wp:extent cx="1203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16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Commission File Number  1-12273</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 Full title of the plan and the address of the plan, if different from that of the issuer named below:</w:t>
      </w:r>
    </w:p>
    <w:p>
      <w:pPr>
        <w:spacing w:after="0" w:line="24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Roper Technologies, Inc.</w:t>
      </w:r>
    </w:p>
    <w:p>
      <w:pPr>
        <w:spacing w:after="0" w:line="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EMPLOYEES’ RETIREMENT SAVINGS 003 PLAN</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 Name of issuer of the securities held pursuant to the plan and the address of its principal executive office:</w:t>
      </w:r>
    </w:p>
    <w:p>
      <w:pPr>
        <w:spacing w:after="0" w:line="2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Roper Technologies, Inc.</w:t>
      </w:r>
    </w:p>
    <w:p>
      <w:pPr>
        <w:spacing w:after="0" w:line="1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6496 University Parkway</w:t>
      </w:r>
    </w:p>
    <w:p>
      <w:pPr>
        <w:spacing w:after="0" w:line="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Sarasota, FL 34240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Roper Technologies,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RETIREMENT SAVINGS 003 PLAN</w:t>
      </w:r>
    </w:p>
    <w:p>
      <w:pPr>
        <w:spacing w:after="0"/>
        <w:rPr>
          <w:sz w:val="20"/>
          <w:szCs w:val="20"/>
          <w:color w:val="auto"/>
        </w:rPr>
      </w:pPr>
      <w:r>
        <w:rPr>
          <w:rFonts w:ascii="Times New Roman" w:cs="Times New Roman" w:eastAsia="Times New Roman" w:hAnsi="Times New Roman"/>
          <w:sz w:val="20"/>
          <w:szCs w:val="20"/>
          <w:b w:val="1"/>
          <w:bCs w:val="1"/>
          <w:color w:val="auto"/>
        </w:rPr>
        <w:t>Index to Financial Statements, Supplemental Schedule, and Exhibits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9440" w:type="dxa"/>
            <w:vAlign w:val="bottom"/>
          </w:tcPr>
          <w:p>
            <w:pPr>
              <w:spacing w:after="0"/>
              <w:rPr>
                <w:sz w:val="22"/>
                <w:szCs w:val="22"/>
                <w:color w:val="auto"/>
              </w:rPr>
            </w:pPr>
          </w:p>
        </w:tc>
        <w:tc>
          <w:tcPr>
            <w:tcW w:w="17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58"/>
        </w:trPr>
        <w:tc>
          <w:tcPr>
            <w:tcW w:w="944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w:t>
            </w:r>
          </w:p>
        </w:tc>
      </w:tr>
      <w:tr>
        <w:trPr>
          <w:trHeight w:val="517"/>
        </w:trPr>
        <w:tc>
          <w:tcPr>
            <w:tcW w:w="9440" w:type="dxa"/>
            <w:vAlign w:val="bottom"/>
          </w:tcPr>
          <w:p>
            <w:pPr>
              <w:spacing w:after="0"/>
              <w:rPr>
                <w:sz w:val="20"/>
                <w:szCs w:val="20"/>
                <w:color w:val="auto"/>
              </w:rPr>
            </w:pPr>
            <w:r>
              <w:rPr>
                <w:rFonts w:ascii="Times New Roman" w:cs="Times New Roman" w:eastAsia="Times New Roman" w:hAnsi="Times New Roman"/>
                <w:sz w:val="20"/>
                <w:szCs w:val="20"/>
                <w:color w:val="auto"/>
              </w:rPr>
              <w:t>Statements of Net Assets Available for Benefits</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5</w:t>
            </w:r>
          </w:p>
        </w:tc>
      </w:tr>
      <w:tr>
        <w:trPr>
          <w:trHeight w:val="527"/>
        </w:trPr>
        <w:tc>
          <w:tcPr>
            <w:tcW w:w="9440" w:type="dxa"/>
            <w:vAlign w:val="bottom"/>
          </w:tcPr>
          <w:p>
            <w:pPr>
              <w:spacing w:after="0"/>
              <w:rPr>
                <w:sz w:val="20"/>
                <w:szCs w:val="20"/>
                <w:color w:val="auto"/>
              </w:rPr>
            </w:pPr>
            <w:r>
              <w:rPr>
                <w:rFonts w:ascii="Times New Roman" w:cs="Times New Roman" w:eastAsia="Times New Roman" w:hAnsi="Times New Roman"/>
                <w:sz w:val="20"/>
                <w:szCs w:val="20"/>
                <w:color w:val="auto"/>
              </w:rPr>
              <w:t>Statement of Changes in Net Assets Available for Benefits</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w:t>
            </w:r>
          </w:p>
        </w:tc>
      </w:tr>
      <w:tr>
        <w:trPr>
          <w:trHeight w:val="527"/>
        </w:trPr>
        <w:tc>
          <w:tcPr>
            <w:tcW w:w="9440" w:type="dxa"/>
            <w:vAlign w:val="bottom"/>
          </w:tcPr>
          <w:p>
            <w:pPr>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w:t>
            </w:r>
          </w:p>
        </w:tc>
      </w:tr>
      <w:tr>
        <w:trPr>
          <w:trHeight w:val="526"/>
        </w:trPr>
        <w:tc>
          <w:tcPr>
            <w:tcW w:w="9440" w:type="dxa"/>
            <w:vAlign w:val="bottom"/>
          </w:tcPr>
          <w:p>
            <w:pPr>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13</w:t>
            </w:r>
          </w:p>
        </w:tc>
      </w:tr>
      <w:tr>
        <w:trPr>
          <w:trHeight w:val="527"/>
        </w:trPr>
        <w:tc>
          <w:tcPr>
            <w:tcW w:w="944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14</w:t>
            </w:r>
          </w:p>
        </w:tc>
      </w:tr>
      <w:tr>
        <w:trPr>
          <w:trHeight w:val="527"/>
        </w:trPr>
        <w:tc>
          <w:tcPr>
            <w:tcW w:w="9440" w:type="dxa"/>
            <w:vAlign w:val="bottom"/>
          </w:tcPr>
          <w:p>
            <w:pPr>
              <w:spacing w:after="0"/>
              <w:rPr>
                <w:sz w:val="20"/>
                <w:szCs w:val="20"/>
                <w:color w:val="auto"/>
              </w:rPr>
            </w:pPr>
            <w:r>
              <w:rPr>
                <w:rFonts w:ascii="Times New Roman" w:cs="Times New Roman" w:eastAsia="Times New Roman" w:hAnsi="Times New Roman"/>
                <w:sz w:val="20"/>
                <w:szCs w:val="20"/>
                <w:color w:val="auto"/>
              </w:rPr>
              <w:t>Exhibits</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Plan Administrator and Plan Participants of the Roper Technologies, Inc. Employees’ Retirement Savings 003 Plan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audited the accompanying statements of net assets available for benefits of the Roper Technologies, Inc. Employees’ Retirement Savings 003 Plan (the Plan) as of December 31, 2025 and 2024, and the related statement of changes in net assets available for benefits for the year ended December 31, 2025, and the related notes and schedule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Information</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supplemental information contained in the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 w:name="page4"/>
    <w:bookmarkEnd w:id="3"/>
    <w:p>
      <w:pPr>
        <w:spacing w:after="0" w:line="283" w:lineRule="auto"/>
        <w:rPr>
          <w:sz w:val="20"/>
          <w:szCs w:val="20"/>
          <w:color w:val="auto"/>
        </w:rPr>
      </w:pPr>
      <w:r>
        <w:rPr>
          <w:rFonts w:ascii="Times New Roman" w:cs="Times New Roman" w:eastAsia="Times New Roman" w:hAnsi="Times New Roman"/>
          <w:sz w:val="20"/>
          <w:szCs w:val="20"/>
          <w:color w:val="auto"/>
        </w:rPr>
        <w:t>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Warren Averett, LLC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2018.</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Atlanta, Georgia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Roper Technologies,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RETIREMENT SAVINGS 003 PLAN</w:t>
      </w:r>
    </w:p>
    <w:p>
      <w:pPr>
        <w:spacing w:after="0"/>
        <w:rPr>
          <w:sz w:val="20"/>
          <w:szCs w:val="20"/>
          <w:color w:val="auto"/>
        </w:rPr>
      </w:pPr>
      <w:r>
        <w:rPr>
          <w:rFonts w:ascii="Times New Roman" w:cs="Times New Roman" w:eastAsia="Times New Roman" w:hAnsi="Times New Roman"/>
          <w:sz w:val="20"/>
          <w:szCs w:val="20"/>
          <w:b w:val="1"/>
          <w:bCs w:val="1"/>
          <w:color w:val="auto"/>
        </w:rPr>
        <w:t>STATEMENTS OF NET ASSETS AVAILABLE FOR BENEFITS</w:t>
      </w:r>
    </w:p>
    <w:p>
      <w:pP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4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60" w:type="dxa"/>
            <w:vAlign w:val="bottom"/>
          </w:tcPr>
          <w:p>
            <w:pPr>
              <w:spacing w:after="0"/>
              <w:rPr>
                <w:sz w:val="23"/>
                <w:szCs w:val="23"/>
                <w:color w:val="auto"/>
              </w:rPr>
            </w:pPr>
          </w:p>
        </w:tc>
        <w:tc>
          <w:tcPr>
            <w:tcW w:w="214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40"/>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60" w:type="dxa"/>
            <w:vAlign w:val="bottom"/>
            <w:tcBorders>
              <w:top w:val="single" w:sz="8" w:color="auto"/>
            </w:tcBorders>
            <w:shd w:val="clear" w:color="auto" w:fill="CCEEFF"/>
          </w:tcPr>
          <w:p>
            <w:pPr>
              <w:spacing w:after="0"/>
              <w:rPr>
                <w:sz w:val="20"/>
                <w:szCs w:val="20"/>
                <w:color w:val="auto"/>
              </w:rPr>
            </w:pPr>
          </w:p>
        </w:tc>
        <w:tc>
          <w:tcPr>
            <w:tcW w:w="21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2140" w:type="dxa"/>
            <w:vAlign w:val="bottom"/>
            <w:tcBorders>
              <w:top w:val="single" w:sz="8" w:color="auto"/>
            </w:tcBorders>
            <w:shd w:val="clear" w:color="auto" w:fill="CCEEFF"/>
          </w:tcPr>
          <w:p>
            <w:pPr>
              <w:spacing w:after="0"/>
              <w:rPr>
                <w:sz w:val="20"/>
                <w:szCs w:val="20"/>
                <w:color w:val="auto"/>
              </w:rPr>
            </w:pPr>
          </w:p>
        </w:tc>
      </w:tr>
      <w:tr>
        <w:trPr>
          <w:trHeight w:val="257"/>
        </w:trPr>
        <w:tc>
          <w:tcPr>
            <w:tcW w:w="6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57"/>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Mutual funds</w:t>
            </w: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10,411</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33,836</w:t>
            </w:r>
          </w:p>
        </w:tc>
      </w:tr>
      <w:tr>
        <w:trPr>
          <w:trHeight w:val="257"/>
        </w:trPr>
        <w:tc>
          <w:tcPr>
            <w:tcW w:w="6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Common/collective trust funds</w:t>
            </w:r>
          </w:p>
        </w:tc>
        <w:tc>
          <w:tcPr>
            <w:tcW w:w="26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138,369</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101,789</w:t>
            </w:r>
          </w:p>
        </w:tc>
      </w:tr>
      <w:tr>
        <w:trPr>
          <w:trHeight w:val="256"/>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Roper Technologies, Inc. common stock</w:t>
            </w:r>
          </w:p>
        </w:tc>
        <w:tc>
          <w:tcPr>
            <w:tcW w:w="26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17,488</w:t>
            </w:r>
          </w:p>
        </w:tc>
        <w:tc>
          <w:tcPr>
            <w:tcW w:w="2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22,205</w:t>
            </w:r>
          </w:p>
        </w:tc>
      </w:tr>
      <w:tr>
        <w:trPr>
          <w:trHeight w:val="250"/>
        </w:trPr>
        <w:tc>
          <w:tcPr>
            <w:tcW w:w="62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166,268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157,830</w:t>
            </w:r>
          </w:p>
        </w:tc>
      </w:tr>
      <w:tr>
        <w:trPr>
          <w:trHeight w:val="311"/>
        </w:trPr>
        <w:tc>
          <w:tcPr>
            <w:tcW w:w="6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r>
      <w:tr>
        <w:trPr>
          <w:trHeight w:val="257"/>
        </w:trPr>
        <w:tc>
          <w:tcPr>
            <w:tcW w:w="6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Receivables:</w:t>
            </w: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57"/>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Participant contributions</w:t>
            </w:r>
          </w:p>
        </w:tc>
        <w:tc>
          <w:tcPr>
            <w:tcW w:w="260" w:type="dxa"/>
            <w:vAlign w:val="bottom"/>
            <w:shd w:val="clear" w:color="auto" w:fill="CCEEFF"/>
          </w:tcPr>
          <w:p>
            <w:pPr>
              <w:spacing w:after="0"/>
              <w:rPr>
                <w:sz w:val="22"/>
                <w:szCs w:val="22"/>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56"/>
        </w:trPr>
        <w:tc>
          <w:tcPr>
            <w:tcW w:w="6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Employer contributions</w:t>
            </w:r>
          </w:p>
        </w:tc>
        <w:tc>
          <w:tcPr>
            <w:tcW w:w="26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26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2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298</w:t>
            </w:r>
          </w:p>
        </w:tc>
      </w:tr>
      <w:tr>
        <w:trPr>
          <w:trHeight w:val="250"/>
        </w:trPr>
        <w:tc>
          <w:tcPr>
            <w:tcW w:w="62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receivables</w:t>
            </w: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w:t>
            </w:r>
          </w:p>
        </w:tc>
      </w:tr>
      <w:tr>
        <w:trPr>
          <w:trHeight w:val="311"/>
        </w:trPr>
        <w:tc>
          <w:tcPr>
            <w:tcW w:w="624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spacing w:after="0"/>
              <w:rPr>
                <w:sz w:val="24"/>
                <w:szCs w:val="24"/>
                <w:color w:val="auto"/>
              </w:rPr>
            </w:pPr>
          </w:p>
        </w:tc>
      </w:tr>
      <w:tr>
        <w:trPr>
          <w:trHeight w:val="250"/>
        </w:trPr>
        <w:tc>
          <w:tcPr>
            <w:tcW w:w="6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166,731</w:t>
            </w:r>
          </w:p>
        </w:tc>
        <w:tc>
          <w:tcPr>
            <w:tcW w:w="200" w:type="dxa"/>
            <w:vAlign w:val="bottom"/>
          </w:tcPr>
          <w:p>
            <w:pPr>
              <w:spacing w:after="0"/>
              <w:rPr>
                <w:sz w:val="21"/>
                <w:szCs w:val="21"/>
                <w:color w:val="auto"/>
              </w:rPr>
            </w:pP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158,180</w:t>
            </w:r>
          </w:p>
        </w:tc>
      </w:tr>
      <w:tr>
        <w:trPr>
          <w:trHeight w:val="20"/>
        </w:trPr>
        <w:tc>
          <w:tcPr>
            <w:tcW w:w="6240" w:type="dxa"/>
            <w:vAlign w:val="bottom"/>
          </w:tcPr>
          <w:p>
            <w:pPr>
              <w:spacing w:after="0" w:line="20" w:lineRule="exact"/>
              <w:rPr>
                <w:sz w:val="1"/>
                <w:szCs w:val="1"/>
                <w:color w:val="auto"/>
              </w:rPr>
            </w:pPr>
          </w:p>
        </w:tc>
        <w:tc>
          <w:tcPr>
            <w:tcW w:w="24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567"/>
        </w:trPr>
        <w:tc>
          <w:tcPr>
            <w:tcW w:w="8840" w:type="dxa"/>
            <w:vAlign w:val="bottom"/>
            <w:gridSpan w:val="4"/>
          </w:tcPr>
          <w:p>
            <w:pPr>
              <w:ind w:left="3660"/>
              <w:spacing w:after="0"/>
              <w:rPr>
                <w:sz w:val="20"/>
                <w:szCs w:val="20"/>
                <w:color w:val="auto"/>
              </w:rPr>
            </w:pPr>
            <w:r>
              <w:rPr>
                <w:rFonts w:ascii="Times New Roman" w:cs="Times New Roman" w:eastAsia="Times New Roman" w:hAnsi="Times New Roman"/>
                <w:sz w:val="20"/>
                <w:szCs w:val="20"/>
                <w:color w:val="auto"/>
              </w:rPr>
              <w:t>See accompanying notes to Financial Statements.</w:t>
            </w: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Roper Technologies,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RETIREMENT SAVINGS 003 PLAN</w:t>
      </w:r>
    </w:p>
    <w:p>
      <w:pPr>
        <w:ind w:right="4480"/>
        <w:spacing w:after="0" w:line="246" w:lineRule="auto"/>
        <w:rPr>
          <w:sz w:val="20"/>
          <w:szCs w:val="20"/>
          <w:color w:val="auto"/>
        </w:rPr>
      </w:pPr>
      <w:r>
        <w:rPr>
          <w:rFonts w:ascii="Times New Roman" w:cs="Times New Roman" w:eastAsia="Times New Roman" w:hAnsi="Times New Roman"/>
          <w:sz w:val="20"/>
          <w:szCs w:val="20"/>
          <w:b w:val="1"/>
          <w:bCs w:val="1"/>
          <w:color w:val="auto"/>
        </w:rPr>
        <w:t>STATEMENT OF CHANGES IN NET ASSETS AVAILABLE FOR BENEFITS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w w:val="97"/>
              </w:rPr>
              <w:t>Year ended December 31,</w:t>
            </w:r>
          </w:p>
        </w:tc>
      </w:tr>
      <w:tr>
        <w:trPr>
          <w:trHeight w:val="256"/>
        </w:trPr>
        <w:tc>
          <w:tcPr>
            <w:tcW w:w="88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237"/>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ADDITIONS:</w:t>
            </w:r>
          </w:p>
        </w:tc>
        <w:tc>
          <w:tcPr>
            <w:tcW w:w="1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r>
      <w:tr>
        <w:trPr>
          <w:trHeight w:val="257"/>
        </w:trPr>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Investment income:</w:t>
            </w: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57"/>
        </w:trPr>
        <w:tc>
          <w:tcPr>
            <w:tcW w:w="8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16,743</w:t>
            </w:r>
          </w:p>
        </w:tc>
      </w:tr>
      <w:tr>
        <w:trPr>
          <w:trHeight w:val="256"/>
        </w:trPr>
        <w:tc>
          <w:tcPr>
            <w:tcW w:w="8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Interest and dividend income</w:t>
            </w:r>
          </w:p>
        </w:tc>
        <w:tc>
          <w:tcPr>
            <w:tcW w:w="1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894</w:t>
            </w:r>
          </w:p>
        </w:tc>
      </w:tr>
      <w:tr>
        <w:trPr>
          <w:trHeight w:val="25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investment income</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17,637</w:t>
            </w:r>
          </w:p>
        </w:tc>
      </w:tr>
      <w:tr>
        <w:trPr>
          <w:trHeight w:val="257"/>
        </w:trPr>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Interest on notes receivable from participants</w:t>
            </w:r>
          </w:p>
        </w:tc>
        <w:tc>
          <w:tcPr>
            <w:tcW w:w="12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7"/>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Contributions:</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r>
      <w:tr>
        <w:trPr>
          <w:trHeight w:val="257"/>
        </w:trPr>
        <w:tc>
          <w:tcPr>
            <w:tcW w:w="8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Participant</w:t>
            </w:r>
          </w:p>
        </w:tc>
        <w:tc>
          <w:tcPr>
            <w:tcW w:w="12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2,704</w:t>
            </w:r>
          </w:p>
        </w:tc>
      </w:tr>
      <w:tr>
        <w:trPr>
          <w:trHeight w:val="257"/>
        </w:trPr>
        <w:tc>
          <w:tcPr>
            <w:tcW w:w="8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Employer</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2,090</w:t>
            </w:r>
          </w:p>
        </w:tc>
      </w:tr>
      <w:tr>
        <w:trPr>
          <w:trHeight w:val="256"/>
        </w:trPr>
        <w:tc>
          <w:tcPr>
            <w:tcW w:w="8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Rollover</w:t>
            </w:r>
          </w:p>
        </w:tc>
        <w:tc>
          <w:tcPr>
            <w:tcW w:w="1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1,758</w:t>
            </w:r>
          </w:p>
        </w:tc>
      </w:tr>
      <w:tr>
        <w:trPr>
          <w:trHeight w:val="25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contributions</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6,552</w:t>
            </w:r>
          </w:p>
        </w:tc>
      </w:tr>
      <w:tr>
        <w:trPr>
          <w:trHeight w:val="311"/>
        </w:trPr>
        <w:tc>
          <w:tcPr>
            <w:tcW w:w="88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r>
        <w:trPr>
          <w:trHeight w:val="250"/>
        </w:trPr>
        <w:tc>
          <w:tcPr>
            <w:tcW w:w="8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Total additions</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24,215</w:t>
            </w:r>
          </w:p>
        </w:tc>
      </w:tr>
      <w:tr>
        <w:trPr>
          <w:trHeight w:val="310"/>
        </w:trPr>
        <w:tc>
          <w:tcPr>
            <w:tcW w:w="8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56"/>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r>
      <w:tr>
        <w:trPr>
          <w:trHeight w:val="257"/>
        </w:trPr>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12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15,764</w:t>
            </w:r>
          </w:p>
        </w:tc>
      </w:tr>
      <w:tr>
        <w:trPr>
          <w:trHeight w:val="257"/>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Administrative expenses</w:t>
            </w:r>
          </w:p>
        </w:tc>
        <w:tc>
          <w:tcPr>
            <w:tcW w:w="12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0"/>
        </w:trPr>
        <w:tc>
          <w:tcPr>
            <w:tcW w:w="8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deductions</w:t>
            </w:r>
          </w:p>
        </w:tc>
        <w:tc>
          <w:tcPr>
            <w:tcW w:w="1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15,825</w:t>
            </w:r>
          </w:p>
        </w:tc>
      </w:tr>
      <w:tr>
        <w:trPr>
          <w:trHeight w:val="311"/>
        </w:trPr>
        <w:tc>
          <w:tcPr>
            <w:tcW w:w="88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300" w:type="dxa"/>
            <w:vAlign w:val="bottom"/>
            <w:tcBorders>
              <w:bottom w:val="single" w:sz="8" w:color="auto"/>
            </w:tcBorders>
            <w:shd w:val="clear" w:color="auto" w:fill="CCEEFF"/>
          </w:tcPr>
          <w:p>
            <w:pPr>
              <w:spacing w:after="0"/>
              <w:rPr>
                <w:sz w:val="24"/>
                <w:szCs w:val="24"/>
                <w:color w:val="auto"/>
              </w:rPr>
            </w:pPr>
          </w:p>
        </w:tc>
      </w:tr>
      <w:tr>
        <w:trPr>
          <w:trHeight w:val="250"/>
        </w:trPr>
        <w:tc>
          <w:tcPr>
            <w:tcW w:w="8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increase before transfers</w:t>
            </w:r>
          </w:p>
        </w:tc>
        <w:tc>
          <w:tcPr>
            <w:tcW w:w="1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8,390</w:t>
            </w:r>
          </w:p>
        </w:tc>
      </w:tr>
      <w:tr>
        <w:trPr>
          <w:trHeight w:val="256"/>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transfers from Roper Employees’ Retirement Savings 004 Plan</w:t>
            </w:r>
          </w:p>
        </w:tc>
        <w:tc>
          <w:tcPr>
            <w:tcW w:w="12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161</w:t>
            </w:r>
          </w:p>
        </w:tc>
      </w:tr>
      <w:tr>
        <w:trPr>
          <w:trHeight w:val="250"/>
        </w:trPr>
        <w:tc>
          <w:tcPr>
            <w:tcW w:w="88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INCREASE IN NET ASSETS AVAILABLE FOR BENEFITS</w:t>
            </w:r>
          </w:p>
        </w:tc>
        <w:tc>
          <w:tcPr>
            <w:tcW w:w="1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8,551</w:t>
            </w:r>
          </w:p>
        </w:tc>
      </w:tr>
      <w:tr>
        <w:trPr>
          <w:trHeight w:val="257"/>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 AT</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r>
      <w:tr>
        <w:trPr>
          <w:trHeight w:val="256"/>
        </w:trPr>
        <w:tc>
          <w:tcPr>
            <w:tcW w:w="8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Beginning of year</w:t>
            </w:r>
          </w:p>
        </w:tc>
        <w:tc>
          <w:tcPr>
            <w:tcW w:w="1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158,180</w:t>
            </w:r>
          </w:p>
        </w:tc>
      </w:tr>
      <w:tr>
        <w:trPr>
          <w:trHeight w:val="275"/>
        </w:trPr>
        <w:tc>
          <w:tcPr>
            <w:tcW w:w="8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End of year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166,731</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Roper Technologies,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RETIREMENT SAVINGS 003 PLAN</w:t>
      </w: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DESCRIPTION OF PLAN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6"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color w:val="auto"/>
        </w:rPr>
        <w:t>The following description of the Roper Technologies, Inc. Employees’ Retirement Savings 003 Plan (the “Plan”) provides only general information. Participants should refer to the Plan agreement for a more complete description of the Plan’s provisions.</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Plan is a defined contribution plan covering substantially all employees of certain subsidiaries of Roper Technologies, Inc. (“Roper” or the “Company”) and substantially all Roper corporate employees, who are age 18 or older. Eligible employees are able to enroll immediately upon their date of hire following meeting the eligibility requirements, as defined in the Plan document. The Plan is subject to the provisions of the Employee Retirement Income Security Act of 1974, as amended (“ERISA”). The Company’s Investment Committee determines the appropriateness of the Plan’s investment offerings and monitors investment performance, as delegated by the Company’s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serves as the Plan Administrator. The Plan Administrator has the responsibility to administer the Plan for the exclusive benefit of the participants and their beneficiaries. These duties include, but are not limited to, establishing procedures, maintaining records, interpreting provisions of the Plan, and making determinations regarding questions which may affect eligibility for benefits.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Contributions</w:t>
      </w:r>
    </w:p>
    <w:p>
      <w:pPr>
        <w:spacing w:after="0" w:line="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Each year, participants may contribute up to 50% of their eligible compensation in the form of (i) pre-tax contributions, (ii) after-tax contributions, or (iii) a combination of pre-tax and after-tax contributions. Participants may also contribute amounts representing distributions from other qualified defined contribution or defined benefit plans. Participants who are age 50 or older and make the maximum elective contribution for the year may make additional catch-up contributions up to a maximum dollar amount per year in accordance with the Internal Revenue Code, as amended (“IRC”). Participants who do not elect a contribution percentage or do not elect to opt out of the Plan are automatically enrolled for pre-tax contributions at a rate of 5% of eligible earnings with annual 1% increases in deferral rates, not to exceed a maximum of 15% of eligible earnings. Contributions are subject to certain limitations. The automatic deferral increase will occur the first day of each Plan year unless automatically enrolled within the last six months.</w:t>
      </w:r>
    </w:p>
    <w:p>
      <w:pPr>
        <w:spacing w:after="0" w:line="21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2025, the Company contributed a match of 100% of the first 3% of eligible compensation that a participant contributed to the Plan and 50% of the next 3% of eligible compensation that a participant contributed to the Plan. In no case are participant deferrals in excess of 6% of compensation taken into account for matching purposes. In addition, the Company made profit-sharing contributions equal to 3% of each participant’s eligible compensation. Participants direct the investment of their contributions into various investment options offered by the Plan.</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Plan currently offers common/collective trust (“CCT”) funds, mutual funds, and Roper Technologies, Inc. common stock as investment options for participants. Participants may change their investment elections daily.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Participant Accounts</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Each participant’s account is credited with the participant’s contributions, an allocation of the Company’s contributions, and Plan earnings, and an allocation of administrative expenses. Allocations are based on participant earnings or account balances, as defined. The benefit to which a participant is entitled is the benefit that can be provided from the participant’s vested account.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are immediately vested in their contributions and Company contributions plus actual earnings thereon.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Receivable from Participants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Participants may borrow from their accounts a minimum of $1,000 up to a maximum equal to the lesser of $50,000 or 50% of their vested account balance, for a term not to exceed five years unless the note is for the purchase of a principal residence, in which case the term is not to exceed thirty years. The notes are secured by the balance in the participant’s account and bear interest at rates which are commensurate with local prevailing rates as determined by the Plan Administrator. Principal and interest are paid ratably through payroll deductions.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Payments of Benefits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 participant will generally receive their benefits as a lump-sum amount equal to the value of the participant’s vested interest in his or her account following termination of service due to death, disability, retirement, or separation from service. Lump-sum and installment payment distribution options are also available to participants following termination of employment, subject to minimum account balance provisions as specified in the Plan.</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Participants invested in Roper common stock through the Plan can elect to receive shares of the Company’s common stock, subject to the Plan’s distribution provisions. Participants who attain age 59½ are eligible to receive in-service distributions in accordance with provisions specified in the Plan. Withdrawals from the Plan may also be made upon circumstances of financial hardship in accordance with provisions specified in the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Forfeitures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Forfeitures primarily relate to the non-vested portion of Company contributions previously made under the Plan’s prior vesting schedule for participants who separated from service before becoming fully vested. Forfeitures of separated participants’ account balances were used to reduce Company contributions. Forfeiture balances were $423,809 and $619,599 as of December 31, 2025 and 2024, respectively, and forfeitures used to reduce Company contributions were approximately $399,000 during the year ended December 31,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Administrative Expenses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Certain expenses of maintaining the Plan are paid directly by the Company and are excluded from these financial statements. The Company reserves the right to elect to pay, or have the Plan pay, administrative costs in the future. Fees related to participant-initiated transactions and the administration of notes receivable from participants are charged directly to the participant’s account and are included in administrative expenses. Investment-related expenses are included in net appreciation in fair value of investments.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 fees and other operating expenses charged to the Plan for investments are deducted from income earned on a daily basis and are not separately reflected. Consequently, management fees and operating expenses are reflected as a reduction of investment return for such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Transfers between Plans</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addition to this Plan, the Company also sponsors the Roper Technologies, Inc. Employees’ Retirement Savings 004 Plan (the “004 Plan”). During 2025, assets of $630,031 were transferred into the Plan from the 004 Plan, and assets of $468,960 were transferred out of the Plan to the 004 Plan. These transfers resulted from changes in participant employment status.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Accounting</w:t>
      </w:r>
    </w:p>
    <w:p>
      <w:pPr>
        <w:spacing w:after="0" w:line="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financial statements of the Plan are prepared under the accrual method of accounting in accordance with accounting principles generally accepted in the United States of America (“U.S. GAAP”).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 and Risks and Uncertainties</w:t>
      </w:r>
    </w:p>
    <w:p>
      <w:pPr>
        <w:spacing w:after="0" w:line="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Plan management to make estimates and assumptions that affect the reported amounts of net assets available for benefits and changes therein, and disclosure of contingent assets and liabilities. Actual results could differ from those estimates. The Plan invests in various investment instruments, including Company common stock which represents a concentration in investments. Investment securities, in general, are exposed to various risks, such as interest rate, credit, price, and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Valuation and Income Recognition</w:t>
      </w:r>
    </w:p>
    <w:p>
      <w:pPr>
        <w:spacing w:after="0" w:line="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Investments are reported at fair value. Fair value is the price that would be received to sell an asset or paid to transfer a liability in an orderly transaction between market participants at the measurement date. The Company reviews the Plan’s valuation policies utilizing information provided by the investment advisers and Vanguard Fiduciary Trust Company (the trustee).</w:t>
      </w:r>
    </w:p>
    <w:p>
      <w:pPr>
        <w:spacing w:after="0" w:line="21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Purchases and sales of investments are recorded on a trade-date basis. Interest income is accrued when earned. Dividend income is recorded on the ex-dividend date. Net appreciation in fair value of investments includes both realized and unrealized gains and losses on investments.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 of Benefits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Receivable from Participants</w:t>
      </w:r>
    </w:p>
    <w:p>
      <w:pPr>
        <w:spacing w:after="0" w:line="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Interest income is recorded on the accrual basis of accounting. Related fees are recorded as administrative expenses and are expensed when they are incurred. If a participant ceases to make note repayments and the Plan Administrator deems the participant note to be in default, the participant note balance is reduced and a benefit payment is recorded.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Administrative Expenses</w:t>
      </w:r>
    </w:p>
    <w:p>
      <w:pPr>
        <w:spacing w:after="0" w:line="2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Expenses incurred to administer the Plan are paid by the Company or using remaining forfeitures with the exception of recordkeeping fees, which are paid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3. FAIR VALUE MEASUREMENTS</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Financial Accounting Standards Board (“FASB”) Accounting Standards Codification (“ASC”) 820, </w:t>
      </w:r>
      <w:r>
        <w:rPr>
          <w:rFonts w:ascii="Times New Roman" w:cs="Times New Roman" w:eastAsia="Times New Roman" w:hAnsi="Times New Roman"/>
          <w:sz w:val="20"/>
          <w:szCs w:val="20"/>
          <w:i w:val="1"/>
          <w:iCs w:val="1"/>
          <w:color w:val="auto"/>
        </w:rPr>
        <w:t>Fair Value Measurement</w:t>
      </w:r>
      <w:r>
        <w:rPr>
          <w:rFonts w:ascii="Times New Roman" w:cs="Times New Roman" w:eastAsia="Times New Roman" w:hAnsi="Times New Roman"/>
          <w:sz w:val="20"/>
          <w:szCs w:val="20"/>
          <w:color w:val="auto"/>
        </w:rPr>
        <w:t>, are described as follows:</w:t>
      </w:r>
    </w:p>
    <w:p>
      <w:pPr>
        <w:spacing w:after="0" w:line="212" w:lineRule="exact"/>
        <w:rPr>
          <w:sz w:val="20"/>
          <w:szCs w:val="20"/>
          <w:color w:val="auto"/>
        </w:rPr>
      </w:pPr>
    </w:p>
    <w:p>
      <w:pPr>
        <w:ind w:left="660" w:hanging="328"/>
        <w:spacing w:after="0" w:line="250"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 Inputs to the valuation methodology are unadjusted quoted prices for identical assets or liabilities in active markets that the Plan has the ability to access.</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36"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 Inputs to the valuation methodology include: Quoted prices for similar assets or liabilities in active markets; quoted prices for identical or similar assets or liabilities in inactive markets; inputs other than quoted prices that are observable for the asset or liability; 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spacing w:after="0" w:line="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 Inputs to the valuation methodology are unobservable and significant to the fair value measurement.</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asset’s or liability’s fair value measurement level within the fair value hierarchy is based on the lowest level input that is significant to the entire fair value measurement. Valuation techniques used need to maximize the use of relevant observable inputs and minimize the use of unobservable inputs.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is a description of the valuation methodologies used for assets and liabilities measured at fair value. There have been no significant changes in the methodologies used at December 31, 2025 and 2024.</w:t>
      </w:r>
    </w:p>
    <w:p>
      <w:pPr>
        <w:spacing w:after="0" w:line="16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Mutual Funds </w:t>
      </w:r>
      <w:r>
        <w:rPr>
          <w:rFonts w:ascii="Times New Roman" w:cs="Times New Roman" w:eastAsia="Times New Roman" w:hAnsi="Times New Roman"/>
          <w:sz w:val="20"/>
          <w:szCs w:val="20"/>
          <w:color w:val="auto"/>
        </w:rPr>
        <w:t>– Valued based on the daily closing price as reported by the fund by obtaining quoted prices on nationally recognized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exchanges. The mutual funds held by the Plan are deemed to be actively traded.</w:t>
      </w:r>
    </w:p>
    <w:p>
      <w:pPr>
        <w:spacing w:after="0" w:line="17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Shares of Roper Technologies, Inc. Common Stock </w:t>
      </w:r>
      <w:r>
        <w:rPr>
          <w:rFonts w:ascii="Times New Roman" w:cs="Times New Roman" w:eastAsia="Times New Roman" w:hAnsi="Times New Roman"/>
          <w:sz w:val="20"/>
          <w:szCs w:val="20"/>
          <w:color w:val="auto"/>
        </w:rPr>
        <w:t>– Valued at the net asset value (“NAV”) of shares held by the Plan at year end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obtaining quoted prices on nationally recognized securities exchanges.</w:t>
      </w:r>
    </w:p>
    <w:p>
      <w:pPr>
        <w:spacing w:after="0" w:line="179"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CCTs – </w:t>
      </w:r>
      <w:r>
        <w:rPr>
          <w:rFonts w:ascii="Times New Roman" w:cs="Times New Roman" w:eastAsia="Times New Roman" w:hAnsi="Times New Roman"/>
          <w:sz w:val="20"/>
          <w:szCs w:val="20"/>
          <w:color w:val="auto"/>
        </w:rPr>
        <w:t>Valued at the NAV provided by the fund’s trustee as a practical expedient to estimate fair value. The NAV is based on the fair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 of the underlying investments held by the fund less its liabilities. This practical expedient would not be used when it is determined to be probable that the fund will sell the investment for an amount different than the reported NAV. Participant transactions (purchases and sales) may occur daily. If the Plan initiates a full redemption of the collective trust, the investment advisor reserves the right to temporarily delay withdrawal from the trust in order to ensure that securities liquidations will be carried out in an orderly business manner.</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methodologies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color w:val="auto"/>
        </w:rPr>
        <w:t>The following table sets forth the fair values of the Plan’s investments by asset category as of December 31, 2025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260" w:type="dxa"/>
            <w:vAlign w:val="bottom"/>
            <w:tcBorders>
              <w:bottom w:val="single" w:sz="8" w:color="CCEEFF"/>
            </w:tcBorders>
          </w:tcPr>
          <w:p>
            <w:pPr>
              <w:spacing w:after="0"/>
              <w:rPr>
                <w:sz w:val="23"/>
                <w:szCs w:val="23"/>
                <w:color w:val="auto"/>
              </w:rPr>
            </w:pPr>
          </w:p>
        </w:tc>
        <w:tc>
          <w:tcPr>
            <w:tcW w:w="16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760" w:type="dxa"/>
            <w:vAlign w:val="bottom"/>
            <w:tcBorders>
              <w:bottom w:val="single" w:sz="8" w:color="auto"/>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5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Mutual funds</w:t>
            </w:r>
          </w:p>
        </w:tc>
        <w:tc>
          <w:tcPr>
            <w:tcW w:w="1640" w:type="dxa"/>
            <w:vAlign w:val="bottom"/>
            <w:shd w:val="clear" w:color="auto" w:fill="CCEEFF"/>
          </w:tcPr>
          <w:p>
            <w:pPr>
              <w:jc w:val="right"/>
              <w:ind w:right="1421"/>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10,411</w:t>
            </w: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10,411</w:t>
            </w:r>
          </w:p>
        </w:tc>
        <w:tc>
          <w:tcPr>
            <w:tcW w:w="0" w:type="dxa"/>
            <w:vAlign w:val="bottom"/>
          </w:tcPr>
          <w:p>
            <w:pPr>
              <w:spacing w:after="0"/>
              <w:rPr>
                <w:sz w:val="1"/>
                <w:szCs w:val="1"/>
                <w:color w:val="auto"/>
              </w:rPr>
            </w:pPr>
          </w:p>
        </w:tc>
      </w:tr>
      <w:tr>
        <w:trPr>
          <w:trHeight w:val="256"/>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Roper Technologies, Inc. common stock fund</w:t>
            </w:r>
          </w:p>
        </w:tc>
        <w:tc>
          <w:tcPr>
            <w:tcW w:w="16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17,488</w:t>
            </w:r>
          </w:p>
        </w:tc>
        <w:tc>
          <w:tcPr>
            <w:tcW w:w="1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17,488</w:t>
            </w:r>
          </w:p>
        </w:tc>
        <w:tc>
          <w:tcPr>
            <w:tcW w:w="0" w:type="dxa"/>
            <w:vAlign w:val="bottom"/>
          </w:tcPr>
          <w:p>
            <w:pPr>
              <w:spacing w:after="0"/>
              <w:rPr>
                <w:sz w:val="1"/>
                <w:szCs w:val="1"/>
                <w:color w:val="auto"/>
              </w:rPr>
            </w:pPr>
          </w:p>
        </w:tc>
      </w:tr>
      <w:tr>
        <w:trPr>
          <w:trHeight w:val="275"/>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assets in the fair value hierarchy</w:t>
            </w:r>
          </w:p>
        </w:tc>
        <w:tc>
          <w:tcPr>
            <w:tcW w:w="1640" w:type="dxa"/>
            <w:vAlign w:val="bottom"/>
            <w:tcBorders>
              <w:bottom w:val="single" w:sz="8" w:color="auto"/>
            </w:tcBorders>
            <w:shd w:val="clear" w:color="auto" w:fill="CCEEFF"/>
          </w:tcPr>
          <w:p>
            <w:pPr>
              <w:jc w:val="right"/>
              <w:ind w:right="1421"/>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27,899</w:t>
            </w: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27,899</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Investments measured at NAV:</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CCTs*</w:t>
            </w:r>
          </w:p>
        </w:tc>
        <w:tc>
          <w:tcPr>
            <w:tcW w:w="16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138,369</w:t>
            </w:r>
          </w:p>
        </w:tc>
        <w:tc>
          <w:tcPr>
            <w:tcW w:w="0" w:type="dxa"/>
            <w:vAlign w:val="bottom"/>
          </w:tcPr>
          <w:p>
            <w:pPr>
              <w:spacing w:after="0"/>
              <w:rPr>
                <w:sz w:val="1"/>
                <w:szCs w:val="1"/>
                <w:color w:val="auto"/>
              </w:rPr>
            </w:pPr>
          </w:p>
        </w:tc>
      </w:tr>
      <w:tr>
        <w:trPr>
          <w:trHeight w:val="250"/>
        </w:trPr>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1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166,268</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fair values of the Plan’s investments by asset category as of December 31, 2024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260" w:type="dxa"/>
            <w:vAlign w:val="bottom"/>
            <w:tcBorders>
              <w:bottom w:val="single" w:sz="8" w:color="CCEEFF"/>
            </w:tcBorders>
          </w:tcPr>
          <w:p>
            <w:pPr>
              <w:spacing w:after="0"/>
              <w:rPr>
                <w:sz w:val="23"/>
                <w:szCs w:val="23"/>
                <w:color w:val="auto"/>
              </w:rPr>
            </w:pPr>
          </w:p>
        </w:tc>
        <w:tc>
          <w:tcPr>
            <w:tcW w:w="16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760" w:type="dxa"/>
            <w:vAlign w:val="bottom"/>
            <w:tcBorders>
              <w:bottom w:val="single" w:sz="8" w:color="auto"/>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5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Mutual funds</w:t>
            </w:r>
          </w:p>
        </w:tc>
        <w:tc>
          <w:tcPr>
            <w:tcW w:w="1640" w:type="dxa"/>
            <w:vAlign w:val="bottom"/>
            <w:shd w:val="clear" w:color="auto" w:fill="CCEEFF"/>
          </w:tcPr>
          <w:p>
            <w:pPr>
              <w:jc w:val="right"/>
              <w:ind w:right="1421"/>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33,836</w:t>
            </w: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33,836</w:t>
            </w:r>
          </w:p>
        </w:tc>
        <w:tc>
          <w:tcPr>
            <w:tcW w:w="0" w:type="dxa"/>
            <w:vAlign w:val="bottom"/>
          </w:tcPr>
          <w:p>
            <w:pPr>
              <w:spacing w:after="0"/>
              <w:rPr>
                <w:sz w:val="1"/>
                <w:szCs w:val="1"/>
                <w:color w:val="auto"/>
              </w:rPr>
            </w:pPr>
          </w:p>
        </w:tc>
      </w:tr>
      <w:tr>
        <w:trPr>
          <w:trHeight w:val="25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Roper Technologies, Inc. common stock fund</w:t>
            </w:r>
          </w:p>
        </w:tc>
        <w:tc>
          <w:tcPr>
            <w:tcW w:w="16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22,205</w:t>
            </w:r>
          </w:p>
        </w:tc>
        <w:tc>
          <w:tcPr>
            <w:tcW w:w="1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22,205</w:t>
            </w:r>
          </w:p>
        </w:tc>
        <w:tc>
          <w:tcPr>
            <w:tcW w:w="0" w:type="dxa"/>
            <w:vAlign w:val="bottom"/>
          </w:tcPr>
          <w:p>
            <w:pPr>
              <w:spacing w:after="0"/>
              <w:rPr>
                <w:sz w:val="1"/>
                <w:szCs w:val="1"/>
                <w:color w:val="auto"/>
              </w:rPr>
            </w:pPr>
          </w:p>
        </w:tc>
      </w:tr>
      <w:tr>
        <w:trPr>
          <w:trHeight w:val="275"/>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assets in the fair value hierarchy</w:t>
            </w:r>
          </w:p>
        </w:tc>
        <w:tc>
          <w:tcPr>
            <w:tcW w:w="1640" w:type="dxa"/>
            <w:vAlign w:val="bottom"/>
            <w:tcBorders>
              <w:bottom w:val="single" w:sz="8" w:color="auto"/>
            </w:tcBorders>
            <w:shd w:val="clear" w:color="auto" w:fill="CCEEFF"/>
          </w:tcPr>
          <w:p>
            <w:pPr>
              <w:jc w:val="right"/>
              <w:ind w:right="1421"/>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56,041</w:t>
            </w: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56,041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Investments measured at NAV:</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CCTs*</w:t>
            </w:r>
          </w:p>
        </w:tc>
        <w:tc>
          <w:tcPr>
            <w:tcW w:w="16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101,789</w:t>
            </w:r>
          </w:p>
        </w:tc>
        <w:tc>
          <w:tcPr>
            <w:tcW w:w="0" w:type="dxa"/>
            <w:vAlign w:val="bottom"/>
          </w:tcPr>
          <w:p>
            <w:pPr>
              <w:spacing w:after="0"/>
              <w:rPr>
                <w:sz w:val="1"/>
                <w:szCs w:val="1"/>
                <w:color w:val="auto"/>
              </w:rPr>
            </w:pPr>
          </w:p>
        </w:tc>
      </w:tr>
      <w:tr>
        <w:trPr>
          <w:trHeight w:val="250"/>
        </w:trPr>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1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157,830</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right="20" w:firstLine="8"/>
        <w:spacing w:after="0" w:line="254" w:lineRule="auto"/>
        <w:tabs>
          <w:tab w:leader="none" w:pos="11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FASB ASC Subtopic 820-10, certain investments that were measured at NAV per unit (or its equivalent) have not been classified within the fair value hierarchy. The fair value amounts presented in these tables are intended to permit reconciliation of the fair value hierarchy to the line items presented in the statements of net assets available for benefits.</w:t>
      </w:r>
    </w:p>
    <w:p>
      <w:pPr>
        <w:spacing w:after="0" w:line="20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There were no significant transfers between Level 1 and Level 2 investments or into or out of Level 3 investments during the years ended December 31, 2025 and 2024.</w:t>
      </w:r>
    </w:p>
    <w:p>
      <w:pPr>
        <w:spacing w:after="0" w:line="20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investments measured at fair value based on NAV per unit as of December 31, 2025 and 2024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Unfunded</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Redemption Frequency (if</w:t>
            </w:r>
          </w:p>
        </w:tc>
        <w:tc>
          <w:tcPr>
            <w:tcW w:w="19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Redemption Notice</w:t>
            </w:r>
          </w:p>
        </w:tc>
      </w:tr>
      <w:tr>
        <w:trPr>
          <w:trHeight w:val="266"/>
        </w:trPr>
        <w:tc>
          <w:tcPr>
            <w:tcW w:w="22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Commitments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currently eligible)</w:t>
            </w:r>
          </w:p>
        </w:tc>
        <w:tc>
          <w:tcPr>
            <w:tcW w:w="19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Period</w:t>
            </w:r>
          </w:p>
        </w:tc>
      </w:tr>
      <w:tr>
        <w:trPr>
          <w:trHeight w:val="254"/>
        </w:trPr>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CCT Funds</w:t>
            </w:r>
          </w:p>
        </w:tc>
        <w:tc>
          <w:tcPr>
            <w:tcW w:w="1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138,369</w:t>
            </w:r>
          </w:p>
        </w:tc>
        <w:tc>
          <w:tcPr>
            <w:tcW w:w="18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N/A</w:t>
            </w:r>
          </w:p>
        </w:tc>
        <w:tc>
          <w:tcPr>
            <w:tcW w:w="160" w:type="dxa"/>
            <w:vAlign w:val="bottom"/>
            <w:tcBorders>
              <w:top w:val="single" w:sz="8" w:color="CCEEFF"/>
            </w:tcBorders>
            <w:shd w:val="clear" w:color="auto" w:fill="CCEEFF"/>
          </w:tcPr>
          <w:p>
            <w:pPr>
              <w:spacing w:after="0"/>
              <w:rPr>
                <w:sz w:val="22"/>
                <w:szCs w:val="22"/>
                <w:color w:val="auto"/>
              </w:rPr>
            </w:pPr>
          </w:p>
        </w:tc>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Daily</w:t>
            </w:r>
          </w:p>
        </w:tc>
        <w:tc>
          <w:tcPr>
            <w:tcW w:w="160" w:type="dxa"/>
            <w:vAlign w:val="bottom"/>
            <w:tcBorders>
              <w:top w:val="single" w:sz="8" w:color="CCEEFF"/>
            </w:tcBorders>
            <w:shd w:val="clear" w:color="auto" w:fill="CCEEFF"/>
          </w:tcPr>
          <w:p>
            <w:pPr>
              <w:spacing w:after="0"/>
              <w:rPr>
                <w:sz w:val="22"/>
                <w:szCs w:val="22"/>
                <w:color w:val="auto"/>
              </w:rPr>
            </w:pPr>
          </w:p>
        </w:tc>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Daily</w:t>
            </w:r>
          </w:p>
        </w:tc>
      </w:tr>
      <w:tr>
        <w:trPr>
          <w:trHeight w:val="523"/>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4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980" w:type="dxa"/>
            <w:vAlign w:val="bottom"/>
            <w:tcBorders>
              <w:bottom w:val="single" w:sz="8" w:color="CCEEFF"/>
            </w:tcBorders>
          </w:tcPr>
          <w:p>
            <w:pPr>
              <w:spacing w:after="0"/>
              <w:rPr>
                <w:sz w:val="24"/>
                <w:szCs w:val="24"/>
                <w:color w:val="auto"/>
              </w:rPr>
            </w:pPr>
          </w:p>
        </w:tc>
      </w:tr>
      <w:tr>
        <w:trPr>
          <w:trHeight w:val="25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CCT Funds</w:t>
            </w:r>
          </w:p>
        </w:tc>
        <w:tc>
          <w:tcPr>
            <w:tcW w:w="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101,789</w:t>
            </w:r>
          </w:p>
        </w:tc>
        <w:tc>
          <w:tcPr>
            <w:tcW w:w="180" w:type="dxa"/>
            <w:vAlign w:val="bottom"/>
            <w:shd w:val="clear" w:color="auto" w:fill="CCEEFF"/>
          </w:tcPr>
          <w:p>
            <w:pPr>
              <w:spacing w:after="0"/>
              <w:rPr>
                <w:sz w:val="22"/>
                <w:szCs w:val="22"/>
                <w:color w:val="auto"/>
              </w:rPr>
            </w:pP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N/A</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Daily</w:t>
            </w: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Daily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4. RELATED PARTY TRANSACTIONS</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Plan investments include shares of mutual funds and units of CCT funds managed by the trustee. The Plan also paid fees for recordkeeping services which are included in the statement of changes in net assets for the year ended December 31, 2025 within administrative expenses. These transactions qualify as party-in-interest, and are exempt from the prohibited transactions rule.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Plan offers Roper Technologies, Inc. common stock as an investment option for participants. The Company is the Plan Sponsor as defined by the Plan; therefore, these transactions also qualify as party-in-interest transactions, and are exempt from the prohibited transactions rule.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PLAN TERMINATION</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Although it has not expressed any intent to do so, the Company has the right under the Plan to discontinue its contributions at any time and to terminate the Plan subject to the provisions of ERISA. In the event of Plan termination, participants remain 100% vested in their employer contributions.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TAX STATUS</w:t>
      </w:r>
    </w:p>
    <w:p>
      <w:pPr>
        <w:spacing w:after="0" w:line="2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underlying non-standardized pre-approved plan has received an opinion letter from the Internal Revenue Service (“IRS”) dated June 30, 2020, stating that the form of the Plan is qualified under Section 401(a) of the IRC, and therefore, the related trust is tax-exempt. The Plan Administrator has determined that it is eligible to and has chosen to rely on the current IRS non-standardized pre-approved plan opinion letter. Once qualified, the Plan is required to operate in conformity with the IRC to maintain its qualification. The Plan Administrator believes the Plan is in compliance with the applicable requirements of the IRC and therefore, believes that the Plan is qualified, and the related trust is tax-exempt.</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U.S. GAAP requires Plan management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SUBSEQUENT EVENTS</w:t>
      </w:r>
    </w:p>
    <w:p>
      <w:pPr>
        <w:spacing w:after="0" w:line="2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Management has evaluated subsequent events through June 22, 2026, which is the date the financial statements were available to be issued, and have determined that there are no subsequent events that require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 w:name="page13"/>
    <w:bookmarkEnd w:id="12"/>
    <w:p>
      <w:pPr>
        <w:ind w:left="4000"/>
        <w:spacing w:after="0"/>
        <w:rPr>
          <w:sz w:val="20"/>
          <w:szCs w:val="20"/>
          <w:color w:val="auto"/>
        </w:rPr>
      </w:pPr>
      <w:r>
        <w:rPr>
          <w:rFonts w:ascii="Times New Roman" w:cs="Times New Roman" w:eastAsia="Times New Roman" w:hAnsi="Times New Roman"/>
          <w:sz w:val="20"/>
          <w:szCs w:val="20"/>
          <w:b w:val="1"/>
          <w:bCs w:val="1"/>
          <w:color w:val="auto"/>
        </w:rPr>
        <w:t>SUPPLEMENTARY INFORMATION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ROPER TECHNOLOGIES, INC. EMPLOYEES’ RETIREMENT SAVINGS 003 PLAN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PLAN SPONSOR’S EIN: 51-0263969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PLAN NUMBER: 003</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w:t>
            </w: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date, rate of interest, collateral, par, or maturity</w:t>
            </w: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t>
            </w: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 Identify of issue, borrower, lessor, or similar party</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 Current value</w:t>
            </w:r>
          </w:p>
        </w:tc>
        <w:tc>
          <w:tcPr>
            <w:tcW w:w="0" w:type="dxa"/>
            <w:vAlign w:val="bottom"/>
          </w:tcPr>
          <w:p>
            <w:pPr>
              <w:spacing w:after="0"/>
              <w:rPr>
                <w:sz w:val="1"/>
                <w:szCs w:val="1"/>
                <w:color w:val="auto"/>
              </w:rPr>
            </w:pPr>
          </w:p>
        </w:tc>
      </w:tr>
      <w:tr>
        <w:trPr>
          <w:trHeight w:val="27"/>
        </w:trPr>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10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Cash Reserves Federal MM Fund Admiral Shares</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423,809</w:t>
            </w:r>
          </w:p>
        </w:tc>
        <w:tc>
          <w:tcPr>
            <w:tcW w:w="0" w:type="dxa"/>
            <w:vAlign w:val="bottom"/>
          </w:tcPr>
          <w:p>
            <w:pPr>
              <w:spacing w:after="0"/>
              <w:rPr>
                <w:sz w:val="1"/>
                <w:szCs w:val="1"/>
                <w:color w:val="auto"/>
              </w:rPr>
            </w:pPr>
          </w:p>
        </w:tc>
      </w:tr>
      <w:tr>
        <w:trPr>
          <w:trHeight w:val="22"/>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48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Vanguard Emerging Markets Stock Index Fund Institutional</w:t>
            </w:r>
          </w:p>
        </w:tc>
        <w:tc>
          <w:tcPr>
            <w:tcW w:w="41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Mutual fund</w:t>
            </w:r>
          </w:p>
        </w:tc>
        <w:tc>
          <w:tcPr>
            <w:tcW w:w="4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1,905,254</w:t>
            </w:r>
          </w:p>
        </w:tc>
        <w:tc>
          <w:tcPr>
            <w:tcW w:w="0" w:type="dxa"/>
            <w:vAlign w:val="bottom"/>
          </w:tcPr>
          <w:p>
            <w:pPr>
              <w:spacing w:after="0"/>
              <w:rPr>
                <w:sz w:val="1"/>
                <w:szCs w:val="1"/>
                <w:color w:val="auto"/>
              </w:rPr>
            </w:pPr>
          </w:p>
        </w:tc>
      </w:tr>
      <w:tr>
        <w:trPr>
          <w:trHeight w:val="241"/>
        </w:trPr>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4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Mid-Cap Index Fund Institutional Shares</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4,835,949</w:t>
            </w:r>
          </w:p>
        </w:tc>
        <w:tc>
          <w:tcPr>
            <w:tcW w:w="0" w:type="dxa"/>
            <w:vAlign w:val="bottom"/>
          </w:tcPr>
          <w:p>
            <w:pPr>
              <w:spacing w:after="0"/>
              <w:rPr>
                <w:sz w:val="1"/>
                <w:szCs w:val="1"/>
                <w:color w:val="auto"/>
              </w:rPr>
            </w:pPr>
          </w:p>
        </w:tc>
      </w:tr>
      <w:tr>
        <w:trPr>
          <w:trHeight w:val="22"/>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Small-Cap Index Fund Institutional Shares</w:t>
            </w:r>
          </w:p>
        </w:tc>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w:t>
            </w:r>
          </w:p>
        </w:tc>
        <w:tc>
          <w:tcPr>
            <w:tcW w:w="4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2,525,144</w:t>
            </w:r>
          </w:p>
        </w:tc>
        <w:tc>
          <w:tcPr>
            <w:tcW w:w="0" w:type="dxa"/>
            <w:vAlign w:val="bottom"/>
          </w:tcPr>
          <w:p>
            <w:pPr>
              <w:spacing w:after="0"/>
              <w:rPr>
                <w:sz w:val="1"/>
                <w:szCs w:val="1"/>
                <w:color w:val="auto"/>
              </w:rPr>
            </w:pPr>
          </w:p>
        </w:tc>
      </w:tr>
      <w:tr>
        <w:trPr>
          <w:trHeight w:val="184"/>
        </w:trPr>
        <w:tc>
          <w:tcPr>
            <w:tcW w:w="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48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Vanguard Total International Bond Index Fund Institutional</w:t>
            </w:r>
          </w:p>
        </w:tc>
        <w:tc>
          <w:tcPr>
            <w:tcW w:w="41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Mutual fund</w:t>
            </w:r>
          </w:p>
        </w:tc>
        <w:tc>
          <w:tcPr>
            <w:tcW w:w="460" w:type="dxa"/>
            <w:vAlign w:val="bottom"/>
          </w:tcPr>
          <w:p>
            <w:pPr>
              <w:spacing w:after="0"/>
              <w:rPr>
                <w:sz w:val="16"/>
                <w:szCs w:val="16"/>
                <w:color w:val="auto"/>
              </w:rPr>
            </w:pPr>
          </w:p>
        </w:tc>
        <w:tc>
          <w:tcPr>
            <w:tcW w:w="13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720,917</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4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mutual funds</w:t>
            </w:r>
          </w:p>
        </w:tc>
        <w:tc>
          <w:tcPr>
            <w:tcW w:w="4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10,411,073</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Common/Collective Trust Funds</w:t>
            </w:r>
          </w:p>
        </w:tc>
        <w:tc>
          <w:tcPr>
            <w:tcW w:w="4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Retirement Savings Trust III</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14,791,327</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Developed Markets Index Trust D</w:t>
            </w: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4,562,013</w:t>
            </w: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Institutional 500 Index Trust D</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19,470,329</w:t>
            </w:r>
          </w:p>
        </w:tc>
        <w:tc>
          <w:tcPr>
            <w:tcW w:w="0" w:type="dxa"/>
            <w:vAlign w:val="bottom"/>
          </w:tcPr>
          <w:p>
            <w:pPr>
              <w:spacing w:after="0"/>
              <w:rPr>
                <w:sz w:val="1"/>
                <w:szCs w:val="1"/>
                <w:color w:val="auto"/>
              </w:rPr>
            </w:pPr>
          </w:p>
        </w:tc>
      </w:tr>
      <w:tr>
        <w:trPr>
          <w:trHeight w:val="237"/>
        </w:trPr>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Institutional Total Bond Market Index Trust D</w:t>
            </w:r>
          </w:p>
        </w:tc>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6,276,712</w:t>
            </w: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2020 Trust Plus</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9,033,290</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2025 Trust Plus</w:t>
            </w: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16,518,913</w:t>
            </w: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2030 Trust Plus</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11,266,252</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2035 Trust Plus</w:t>
            </w: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15,163,011</w:t>
            </w: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2040 Trust Plus</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12,421,949</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2045 Trust Plus</w:t>
            </w: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11,384,164</w:t>
            </w: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2050 Trust Plus</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6,449,816</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2055 Trust Plus</w:t>
            </w: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3,317,226</w:t>
            </w: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2060 Trust Plus</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2,600,300</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2065 Trust Plus</w:t>
            </w: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890,682</w:t>
            </w: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2070 Trust Plus</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625,372</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Income Trust Plus</w:t>
            </w: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c>
          <w:tcPr>
            <w:tcW w:w="4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3,597,602</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common/collective trust funds</w:t>
            </w: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138,368,958</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Roper Technologies Common Stock</w:t>
            </w: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17,487,674</w:t>
            </w:r>
          </w:p>
        </w:tc>
        <w:tc>
          <w:tcPr>
            <w:tcW w:w="0" w:type="dxa"/>
            <w:vAlign w:val="bottom"/>
          </w:tcPr>
          <w:p>
            <w:pPr>
              <w:spacing w:after="0"/>
              <w:rPr>
                <w:sz w:val="1"/>
                <w:szCs w:val="1"/>
                <w:color w:val="auto"/>
              </w:rPr>
            </w:pPr>
          </w:p>
        </w:tc>
      </w:tr>
      <w:tr>
        <w:trPr>
          <w:trHeight w:val="234"/>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rates ranging from 4.25% to 9.50%</w:t>
            </w: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372,734</w:t>
            </w:r>
          </w:p>
        </w:tc>
        <w:tc>
          <w:tcPr>
            <w:tcW w:w="0" w:type="dxa"/>
            <w:vAlign w:val="bottom"/>
          </w:tcPr>
          <w:p>
            <w:pPr>
              <w:spacing w:after="0"/>
              <w:rPr>
                <w:sz w:val="1"/>
                <w:szCs w:val="1"/>
                <w:color w:val="auto"/>
              </w:rPr>
            </w:pPr>
          </w:p>
        </w:tc>
      </w:tr>
      <w:tr>
        <w:trPr>
          <w:trHeight w:val="22"/>
        </w:trPr>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166,640,439</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Indicates party-in-interest</w:t>
            </w:r>
          </w:p>
        </w:tc>
        <w:tc>
          <w:tcPr>
            <w:tcW w:w="4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0" w:type="dxa"/>
            <w:vAlign w:val="bottom"/>
            <w:gridSpan w:val="2"/>
            <w:vMerge w:val="continue"/>
          </w:tcPr>
          <w:p>
            <w:pPr>
              <w:spacing w:after="0"/>
              <w:rPr>
                <w:sz w:val="15"/>
                <w:szCs w:val="15"/>
                <w:color w:val="auto"/>
              </w:rPr>
            </w:pPr>
          </w:p>
        </w:tc>
        <w:tc>
          <w:tcPr>
            <w:tcW w:w="4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color w:val="auto"/>
        </w:rPr>
        <w:t>The Plan</w:t>
      </w:r>
      <w:r>
        <w:rPr>
          <w:rFonts w:ascii="Times New Roman" w:cs="Times New Roman" w:eastAsia="Times New Roman" w:hAnsi="Times New Roman"/>
          <w:sz w:val="20"/>
          <w:szCs w:val="20"/>
          <w:color w:val="auto"/>
        </w:rPr>
        <w:t>. Pursuant to the requirements of the Securities Exchange Act of 1934, the trustees (or other persons who administer the employee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 plan) have duly caused this annual report to be signed on its behalf by the undersigned hereunto duly authorized.</w:t>
      </w:r>
    </w:p>
    <w:p>
      <w:pPr>
        <w:spacing w:after="0" w:line="2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Roper Technologies, Inc.</w:t>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EMPLOYEES’ RETIREMENT SAVINGS 003 PLAN</w:t>
      </w:r>
    </w:p>
    <w:p>
      <w:pPr>
        <w:spacing w:after="0" w:line="275" w:lineRule="exact"/>
        <w:rPr>
          <w:sz w:val="20"/>
          <w:szCs w:val="20"/>
          <w:color w:val="auto"/>
        </w:rPr>
      </w:pPr>
    </w:p>
    <w:p>
      <w:pPr>
        <w:ind w:left="620"/>
        <w:spacing w:after="0"/>
        <w:tabs>
          <w:tab w:leader="none" w:pos="1240" w:val="left"/>
          <w:tab w:leader="none" w:pos="8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Brandon Cross</w:t>
      </w:r>
      <w:r>
        <w:rPr>
          <w:sz w:val="20"/>
          <w:szCs w:val="20"/>
          <w:color w:val="auto"/>
        </w:rPr>
        <w:tab/>
      </w:r>
      <w:r>
        <w:rPr>
          <w:rFonts w:ascii="Times New Roman" w:cs="Times New Roman" w:eastAsia="Times New Roman" w:hAnsi="Times New Roman"/>
          <w:sz w:val="19"/>
          <w:szCs w:val="19"/>
          <w:color w:val="auto"/>
        </w:rPr>
        <w:t>Date: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22860</wp:posOffset>
            </wp:positionV>
            <wp:extent cx="4277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Brandon Cross, Vice President and Chief Accounting Officer</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62"/>
        </w:trPr>
        <w:tc>
          <w:tcPr>
            <w:tcW w:w="2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20" w:type="dxa"/>
            <w:vAlign w:val="bottom"/>
            <w:gridSpan w:val="2"/>
          </w:tcPr>
          <w:p>
            <w:pPr>
              <w:ind w:left="242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530"/>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r>
      <w:tr>
        <w:trPr>
          <w:trHeight w:val="200"/>
        </w:trPr>
        <w:tc>
          <w:tcPr>
            <w:tcW w:w="2240" w:type="dxa"/>
            <w:vAlign w:val="bottom"/>
            <w:tcBorders>
              <w:top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23.1</w:t>
            </w:r>
          </w:p>
        </w:tc>
        <w:tc>
          <w:tcPr>
            <w:tcW w:w="3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620" w:type="dxa"/>
            <w:vAlign w:val="bottom"/>
            <w:tcBorders>
              <w:top w:val="single" w:sz="8" w:color="auto"/>
            </w:tcBorders>
            <w:gridSpan w:val="2"/>
          </w:tcPr>
          <w:p>
            <w:pPr>
              <w:spacing w:after="0" w:line="200" w:lineRule="exact"/>
              <w:rPr>
                <w:sz w:val="20"/>
                <w:szCs w:val="20"/>
                <w:color w:val="auto"/>
              </w:rPr>
            </w:pPr>
            <w:r>
              <w:rPr>
                <w:rFonts w:ascii="Times New Roman" w:cs="Times New Roman" w:eastAsia="Times New Roman" w:hAnsi="Times New Roman"/>
                <w:sz w:val="20"/>
                <w:szCs w:val="20"/>
                <w:color w:val="0000FF"/>
              </w:rPr>
              <w:t>Consent of Warren Averett, LLC</w:t>
            </w:r>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09"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consent to the incorporation by reference in Registration Statement No. 333-35672 on Form S-8 of our report dated June 22, 2026, appearing in this Annual Report on Form 11-K of the Roper Technologies, Inc. Employees’ Retirement Savings 003 Plan for the year ended December 31, 2025.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Warren Averett,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22, 2026</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2026-06-22T16:44:52Z</dcterms:created>
  <dcterms:modified xsi:type="dcterms:W3CDTF">2026-06-22T16:44:52Z</dcterms:modified>
</cp:coreProperties>
</file>