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fiscal year ended December 31, 2025</w:t>
      </w:r>
    </w:p>
    <w:p>
      <w:pPr>
        <w:spacing w:after="0" w:line="17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or</w:t>
      </w:r>
    </w:p>
    <w:p>
      <w:pPr>
        <w:spacing w:after="0" w:line="21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08" w:lineRule="exact"/>
        <w:rPr>
          <w:sz w:val="24"/>
          <w:szCs w:val="24"/>
          <w:color w:val="auto"/>
        </w:rPr>
      </w:pPr>
    </w:p>
    <w:p>
      <w:pPr>
        <w:ind w:left="660"/>
        <w:spacing w:after="0"/>
        <w:tabs>
          <w:tab w:leader="none" w:pos="4180" w:val="left"/>
        </w:tabs>
        <w:rPr>
          <w:sz w:val="20"/>
          <w:szCs w:val="20"/>
          <w:color w:val="auto"/>
        </w:rPr>
      </w:pPr>
      <w:r>
        <w:rPr>
          <w:rFonts w:ascii="Times New Roman" w:cs="Times New Roman" w:eastAsia="Times New Roman" w:hAnsi="Times New Roman"/>
          <w:sz w:val="22"/>
          <w:szCs w:val="22"/>
          <w:color w:val="auto"/>
        </w:rPr>
        <w:t>For the transition period from</w:t>
      </w:r>
      <w:r>
        <w:rPr>
          <w:sz w:val="20"/>
          <w:szCs w:val="20"/>
          <w:color w:val="auto"/>
        </w:rPr>
        <w:tab/>
      </w:r>
      <w:r>
        <w:rPr>
          <w:rFonts w:ascii="Times New Roman" w:cs="Times New Roman" w:eastAsia="Times New Roman" w:hAnsi="Times New Roman"/>
          <w:sz w:val="19"/>
          <w:szCs w:val="19"/>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-13970</wp:posOffset>
            </wp:positionV>
            <wp:extent cx="1203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6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 Full title of the plan and the address of the plan, if different from that of the issuer named below:</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EMPLOYEES’ RETIREMENT SAVINGS 004 PLAN</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 Name of issuer of the securities held pursuant to the plan and the address of its principal executive office:</w:t>
      </w:r>
    </w:p>
    <w:p>
      <w:pPr>
        <w:spacing w:after="0" w:line="2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Roper Technologies, Inc.</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6496 University Parkway</w:t>
      </w:r>
    </w:p>
    <w:p>
      <w:pPr>
        <w:spacing w:after="0" w:line="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004 PLAN</w:t>
      </w:r>
    </w:p>
    <w:p>
      <w:pPr>
        <w:spacing w:after="0"/>
        <w:rPr>
          <w:sz w:val="20"/>
          <w:szCs w:val="20"/>
          <w:color w:val="auto"/>
        </w:rPr>
      </w:pPr>
      <w:r>
        <w:rPr>
          <w:rFonts w:ascii="Times New Roman" w:cs="Times New Roman" w:eastAsia="Times New Roman" w:hAnsi="Times New Roman"/>
          <w:sz w:val="20"/>
          <w:szCs w:val="20"/>
          <w:b w:val="1"/>
          <w:bCs w:val="1"/>
          <w:color w:val="auto"/>
        </w:rPr>
        <w:t>Index to Financial Statements, Supplemental Schedules, and Exhibits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9440" w:type="dxa"/>
            <w:vAlign w:val="bottom"/>
          </w:tcPr>
          <w:p>
            <w:pPr>
              <w:spacing w:after="0"/>
              <w:rPr>
                <w:sz w:val="22"/>
                <w:szCs w:val="22"/>
                <w:color w:val="auto"/>
              </w:rPr>
            </w:pPr>
          </w:p>
        </w:tc>
        <w:tc>
          <w:tcPr>
            <w:tcW w:w="17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58"/>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w:t>
            </w:r>
          </w:p>
        </w:tc>
      </w:tr>
      <w:tr>
        <w:trPr>
          <w:trHeight w:val="51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Notes to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w:t>
            </w:r>
          </w:p>
        </w:tc>
      </w:tr>
      <w:tr>
        <w:trPr>
          <w:trHeight w:val="526"/>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4a – Schedule of Delinquent Participant Contributions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13</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Schedule H, Line 4i – Schedule of Assets (Held at End of Year)</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14</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15</w:t>
            </w:r>
          </w:p>
        </w:tc>
      </w:tr>
      <w:tr>
        <w:trPr>
          <w:trHeight w:val="527"/>
        </w:trPr>
        <w:tc>
          <w:tcPr>
            <w:tcW w:w="944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Plan Administrator and Plan Participants of the Roper Technologies, Inc. Employees’ Retirement Savings 004 Plan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Roper Technologies, Inc. Employees’ Retirement Savings 004 Plan (the Plan) as of December 31, 2025 and 2024,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supplemental information contained in the schedule of assets (held at end of year) as of December 31, 2025, and the schedule of delinquent participant contributions for the year ended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20"/>
          <w:szCs w:val="20"/>
          <w:color w:val="auto"/>
        </w:rPr>
        <w:t>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Warren Averett, LLC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004 PLAN</w:t>
      </w:r>
    </w:p>
    <w:p>
      <w:pP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4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60" w:type="dxa"/>
            <w:vAlign w:val="bottom"/>
          </w:tcPr>
          <w:p>
            <w:pPr>
              <w:spacing w:after="0"/>
              <w:rPr>
                <w:sz w:val="23"/>
                <w:szCs w:val="23"/>
                <w:color w:val="auto"/>
              </w:rPr>
            </w:pPr>
          </w:p>
        </w:tc>
        <w:tc>
          <w:tcPr>
            <w:tcW w:w="21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4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tcBorders>
              <w:top w:val="single" w:sz="8" w:color="auto"/>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2140" w:type="dxa"/>
            <w:vAlign w:val="bottom"/>
            <w:tcBorders>
              <w:top w:val="single" w:sz="8" w:color="auto"/>
            </w:tcBorders>
            <w:shd w:val="clear" w:color="auto" w:fill="CCEEFF"/>
          </w:tcPr>
          <w:p>
            <w:pPr>
              <w:spacing w:after="0"/>
              <w:rPr>
                <w:sz w:val="20"/>
                <w:szCs w:val="20"/>
                <w:color w:val="auto"/>
              </w:rPr>
            </w:pPr>
          </w:p>
        </w:tc>
      </w:tr>
      <w:tr>
        <w:trPr>
          <w:trHeight w:val="257"/>
        </w:trPr>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Mutual funds</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142,220</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403,264</w:t>
            </w:r>
          </w:p>
        </w:tc>
      </w:tr>
      <w:tr>
        <w:trPr>
          <w:trHeight w:val="257"/>
        </w:trPr>
        <w:tc>
          <w:tcPr>
            <w:tcW w:w="6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Common/collective trust funds</w:t>
            </w: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1,755,596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1,136,533</w:t>
            </w:r>
          </w:p>
        </w:tc>
      </w:tr>
      <w:tr>
        <w:trPr>
          <w:trHeight w:val="256"/>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Roper Technologies, Inc. common stock</w:t>
            </w: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20,349</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27,632</w:t>
            </w:r>
          </w:p>
        </w:tc>
      </w:tr>
      <w:tr>
        <w:trPr>
          <w:trHeight w:val="250"/>
        </w:trPr>
        <w:tc>
          <w:tcPr>
            <w:tcW w:w="6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1,918,165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1,567,429</w:t>
            </w:r>
          </w:p>
        </w:tc>
      </w:tr>
      <w:tr>
        <w:trPr>
          <w:trHeight w:val="311"/>
        </w:trPr>
        <w:tc>
          <w:tcPr>
            <w:tcW w:w="6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57"/>
        </w:trPr>
        <w:tc>
          <w:tcPr>
            <w:tcW w:w="62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Receivables: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6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3,086</w:t>
            </w:r>
          </w:p>
        </w:tc>
      </w:tr>
      <w:tr>
        <w:trPr>
          <w:trHeight w:val="256"/>
        </w:trPr>
        <w:tc>
          <w:tcPr>
            <w:tcW w:w="62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Employer contributions</w:t>
            </w: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w:t>
            </w:r>
          </w:p>
        </w:tc>
      </w:tr>
      <w:tr>
        <w:trPr>
          <w:trHeight w:val="257"/>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14,738</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12,759</w:t>
            </w:r>
          </w:p>
        </w:tc>
      </w:tr>
      <w:tr>
        <w:trPr>
          <w:trHeight w:val="250"/>
        </w:trPr>
        <w:tc>
          <w:tcPr>
            <w:tcW w:w="62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receivables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17,158</w:t>
            </w:r>
          </w:p>
        </w:tc>
      </w:tr>
      <w:tr>
        <w:trPr>
          <w:trHeight w:val="311"/>
        </w:trPr>
        <w:tc>
          <w:tcPr>
            <w:tcW w:w="624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1,934,513</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1,584,587</w:t>
            </w:r>
          </w:p>
        </w:tc>
      </w:tr>
      <w:tr>
        <w:trPr>
          <w:trHeight w:val="20"/>
        </w:trPr>
        <w:tc>
          <w:tcPr>
            <w:tcW w:w="624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567"/>
        </w:trPr>
        <w:tc>
          <w:tcPr>
            <w:tcW w:w="8840" w:type="dxa"/>
            <w:vAlign w:val="bottom"/>
            <w:gridSpan w:val="4"/>
          </w:tcPr>
          <w:p>
            <w:pPr>
              <w:ind w:left="3660"/>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004 PLAN</w:t>
      </w:r>
    </w:p>
    <w:p>
      <w:pPr>
        <w:ind w:right="4480"/>
        <w:spacing w:after="0" w:line="246" w:lineRule="auto"/>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7"/>
              </w:rPr>
              <w:t>Year ended December 31,</w:t>
            </w:r>
          </w:p>
        </w:tc>
      </w:tr>
      <w:tr>
        <w:trPr>
          <w:trHeight w:val="256"/>
        </w:trPr>
        <w:tc>
          <w:tcPr>
            <w:tcW w:w="88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37"/>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w:t>
            </w:r>
          </w:p>
        </w:tc>
        <w:tc>
          <w:tcPr>
            <w:tcW w:w="1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income:</w:t>
            </w: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57"/>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272,750</w:t>
            </w:r>
          </w:p>
        </w:tc>
      </w:tr>
      <w:tr>
        <w:trPr>
          <w:trHeight w:val="256"/>
        </w:trPr>
        <w:tc>
          <w:tcPr>
            <w:tcW w:w="8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5,240</w:t>
            </w:r>
          </w:p>
        </w:tc>
      </w:tr>
      <w:tr>
        <w:trPr>
          <w:trHeight w:val="25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investment income</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277,990</w:t>
            </w: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Interest on notes receivable from participants</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w:t>
            </w:r>
          </w:p>
        </w:tc>
      </w:tr>
      <w:tr>
        <w:trPr>
          <w:trHeight w:val="25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Contributions:</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257"/>
        </w:trPr>
        <w:tc>
          <w:tcPr>
            <w:tcW w:w="8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Participant</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129,255</w:t>
            </w:r>
          </w:p>
        </w:tc>
      </w:tr>
      <w:tr>
        <w:trPr>
          <w:trHeight w:val="257"/>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Employer</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42,321</w:t>
            </w:r>
          </w:p>
        </w:tc>
      </w:tr>
      <w:tr>
        <w:trPr>
          <w:trHeight w:val="256"/>
        </w:trPr>
        <w:tc>
          <w:tcPr>
            <w:tcW w:w="8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Rollover</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53,263</w:t>
            </w:r>
          </w:p>
        </w:tc>
      </w:tr>
      <w:tr>
        <w:trPr>
          <w:trHeight w:val="250"/>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contributions</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224,839</w:t>
            </w:r>
          </w:p>
        </w:tc>
      </w:tr>
      <w:tr>
        <w:trPr>
          <w:trHeight w:val="311"/>
        </w:trPr>
        <w:tc>
          <w:tcPr>
            <w:tcW w:w="88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50"/>
        </w:trPr>
        <w:tc>
          <w:tcPr>
            <w:tcW w:w="8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additions</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503,938</w:t>
            </w:r>
          </w:p>
        </w:tc>
      </w:tr>
      <w:tr>
        <w:trPr>
          <w:trHeight w:val="310"/>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257"/>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120" w:type="dxa"/>
            <w:vAlign w:val="bottom"/>
          </w:tcPr>
          <w:p>
            <w:pPr>
              <w:spacing w:after="0"/>
              <w:rPr>
                <w:sz w:val="22"/>
                <w:szCs w:val="22"/>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153,227</w:t>
            </w:r>
          </w:p>
        </w:tc>
      </w:tr>
      <w:tr>
        <w:trPr>
          <w:trHeight w:val="25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Administrative expenses</w:t>
            </w:r>
          </w:p>
        </w:tc>
        <w:tc>
          <w:tcPr>
            <w:tcW w:w="1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1,089</w:t>
            </w:r>
          </w:p>
        </w:tc>
      </w:tr>
      <w:tr>
        <w:trPr>
          <w:trHeight w:val="250"/>
        </w:trPr>
        <w:tc>
          <w:tcPr>
            <w:tcW w:w="8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deductions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154,316</w:t>
            </w:r>
          </w:p>
        </w:tc>
      </w:tr>
      <w:tr>
        <w:trPr>
          <w:trHeight w:val="311"/>
        </w:trPr>
        <w:tc>
          <w:tcPr>
            <w:tcW w:w="88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300" w:type="dxa"/>
            <w:vAlign w:val="bottom"/>
            <w:tcBorders>
              <w:bottom w:val="single" w:sz="8" w:color="auto"/>
            </w:tcBorders>
            <w:shd w:val="clear" w:color="auto" w:fill="CCEEFF"/>
          </w:tcPr>
          <w:p>
            <w:pPr>
              <w:spacing w:after="0"/>
              <w:rPr>
                <w:sz w:val="24"/>
                <w:szCs w:val="24"/>
                <w:color w:val="auto"/>
              </w:rPr>
            </w:pPr>
          </w:p>
        </w:tc>
      </w:tr>
      <w:tr>
        <w:trPr>
          <w:trHeight w:val="250"/>
        </w:trPr>
        <w:tc>
          <w:tcPr>
            <w:tcW w:w="8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increase before transfers</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349,622</w:t>
            </w:r>
          </w:p>
        </w:tc>
      </w:tr>
      <w:tr>
        <w:trPr>
          <w:trHeight w:val="256"/>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Net transfers to Roper Employees’ Retirement Savings 003 Plan</w:t>
            </w:r>
          </w:p>
        </w:tc>
        <w:tc>
          <w:tcPr>
            <w:tcW w:w="120" w:type="dxa"/>
            <w:vAlign w:val="bottom"/>
            <w:shd w:val="clear" w:color="auto" w:fill="CCEEFF"/>
          </w:tcPr>
          <w:p>
            <w:pPr>
              <w:spacing w:after="0"/>
              <w:rPr>
                <w:sz w:val="22"/>
                <w:szCs w:val="22"/>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57"/>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Transfers from other plans</w:t>
            </w: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w:t>
            </w:r>
          </w:p>
        </w:tc>
      </w:tr>
      <w:tr>
        <w:trPr>
          <w:trHeight w:val="25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NET INCREASE IN NET ASSETS AVAILABLE FOR BENEFITS</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349,926</w:t>
            </w:r>
          </w:p>
        </w:tc>
      </w:tr>
      <w:tr>
        <w:trPr>
          <w:trHeight w:val="256"/>
        </w:trPr>
        <w:tc>
          <w:tcPr>
            <w:tcW w:w="88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 AT</w:t>
            </w: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57"/>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Beginning of year</w:t>
            </w:r>
          </w:p>
        </w:tc>
        <w:tc>
          <w:tcPr>
            <w:tcW w:w="1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1,584,587</w:t>
            </w:r>
          </w:p>
        </w:tc>
      </w:tr>
      <w:tr>
        <w:trPr>
          <w:trHeight w:val="250"/>
        </w:trPr>
        <w:tc>
          <w:tcPr>
            <w:tcW w:w="8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1,934,513</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RETIREMENT SAVINGS 004 PLAN</w:t>
      </w: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DESCRIPTION OF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following description of the Roper Technologies, Inc. Employees’ Retirement Savings 004 Plan (the “Plan”) provides only general information. Participants should refer to the Plan agreement for a more complete description of the Plan’s provisions.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Plan is a defined contribution plan covering substantially all employees of certain subsidiaries of Roper Technologies, Inc. (“Roper” or the “Company”), who are age 18 or older. Eligible employees are able to enroll immediately upon their date of hire following meeting the eligibility requirements, as defined in the Plan document. The Plan is subject to the provisions of the Employee Retirement Income Security Act of 1974, as amended (“ERISA”). The Company’s Investment Committee determines the appropriateness of the Plan’s investment offerings and monitors investment performance, as delegated by the Company’s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contribution or defined benefit plans. Participants who are age 50 or older and make the maximum elective contribution for the year may make additional catch-up contributions up to a maximum dollar amount per year in accordance with the Internal Revenue Code, as amended (“IRC”). Participants who do not elect a contribution percentage or do not elect to opt out of the Plan are automatically enrolled for pre-tax contributions at a rate of 5% of eligible earnings with annual 1% increases in deferral rates, not to exceed a maximum of 15% of eligible earnings. Contributions are subject to certain limitations. The automatic deferral increase will occur the first day of each Plan year unless automatically enrolled within the last six months.</w:t>
      </w:r>
    </w:p>
    <w:p>
      <w:pPr>
        <w:spacing w:after="0" w:line="2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2025, the Company contributed a match from 50% to 100% of the first 4% to 8% of eligible compensation that a participant contributed to the Plan never to exceed a total match of 5%, depending on which subsidiary the participant was employed by. In no case are participant deferrals in excess of 8% of compensation taken into account for matching purposes. Effective June 16, 2025, the Plan was amended to allow the Company to make additional contributions at the Company’s sole discretion. Participants direct the investment of their contributions into various investment options offered by the Plan.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 currently offers common/collective trust (“CCT”) funds, mutual funds, and Roper Technologies, Inc. common stock as investment options for participants. Participants may change their investment elections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are immediately vested in their contributions and Company contributions plus actual earnings thereon.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Participants may borrow from their accounts a minimum of $1,000 up to a maximum equal to the lesser of $50,000 or 50% of their vested account balance, for a term not to exceed five years unless the note is for the purchase of a principal residence, in which case the term is not to exceed thirty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Payments of Benefits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 participant will generally receive their benefits as a lump-sum amount equal to the value of the participant’s vested interest in his or her account following termination of service due to death, disability, retirement, or separation from service. Lump-sum and installment payment distribution options are also available to participants following termination of employment, subject to minimum account balance provisions as specified in the Plan.</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Participants invested in Roper common stock through the Plan can elect to receive shares of the Company’s common stock, subject to the Plan’s distribution provisions. Participants who attain age 59½ are eligible to receive in-service distributions in accordance with provisions specified in the Plan. Withdrawals from the Plan may also be made upon circumstances of financial hardship in accordance with provisions specified in the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Forfeitures primarily relate to the non-vested portion of Company contributions previously made under the Plan’s prior vesting schedule for participants who separated from service before becoming fully vested. Forfeitures of separated participants’ account balances were used to reduce Company contributions. Forfeiture balances were $756,422 and $522,963 as of December 31, 2025 and 2024, respectively, and forfeitures used to reduce Company contributions were approximately $953,000 during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participant-initiated transactions and the administration of notes receivable from participants are charged directly to the participant’s account and are included in administrative expenses. Investment-related expenses are included in net appreciation in fair value of investments.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Transfers between Plans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this Plan, the Company also sponsors the Roper Technologies, Inc. Employees’ Retirement Savings 003 Plan (the “003 Plan”). During 2025, assets of $468,960 were transferred into the Plan from the 003 Plan, and assets of $630,031 were transferred out of the Plan to the 003 Plan. These transfers resulted from changes in participant employment status.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Accounting</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 and Risks and Uncertainties</w:t>
      </w:r>
    </w:p>
    <w:p>
      <w:pPr>
        <w:spacing w:after="0" w:line="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Plan management to make estimates and assumptions that affect the reported amounts of net assets available for benefits and changes therein, and disclosure of contingent assets and liabilities. Actual results could differ from those estimates. The Plan invests in various investment instruments, including Company common stock which represents a concentration in investments. Investment securities, in general, are exposed to various risks, such as interest rate, credit, price, and market volatility.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Valuation and Income Recognition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Purchases and sales of investments are recorded on a trade-date basis. Interest income is accrued when earned. Dividend income is recorded on the ex-dividend date. Net appreciation in fair value of investments includes both realized and unrealized gains and losses on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Interest income is recorded on the accrual basis of accounting. Related fees are recorded as administrative expenses and are expensed when they are incurred. If a participant ceases to make note repayments and the Plan Administrator deems the participant note to be in default, the participant note balance is reduced and a benefit payment is recorded.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Expenses incurred to administer the Plan are paid by the Company or using remaining forfeitures with the exception of recordkeeping fees, which are paid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Financial Accounting Standards Board (“FASB”) Accounting Standards Codification (“ASC”) 820, </w:t>
      </w:r>
      <w:r>
        <w:rPr>
          <w:rFonts w:ascii="Times New Roman" w:cs="Times New Roman" w:eastAsia="Times New Roman" w:hAnsi="Times New Roman"/>
          <w:sz w:val="20"/>
          <w:szCs w:val="20"/>
          <w:i w:val="1"/>
          <w:iCs w:val="1"/>
          <w:color w:val="auto"/>
        </w:rPr>
        <w:t>Fair Value Measurement</w:t>
      </w:r>
      <w:r>
        <w:rPr>
          <w:rFonts w:ascii="Times New Roman" w:cs="Times New Roman" w:eastAsia="Times New Roman" w:hAnsi="Times New Roman"/>
          <w:sz w:val="20"/>
          <w:szCs w:val="20"/>
          <w:color w:val="auto"/>
        </w:rPr>
        <w:t>, are described as follows:</w:t>
      </w:r>
    </w:p>
    <w:p>
      <w:pPr>
        <w:spacing w:after="0" w:line="212" w:lineRule="exact"/>
        <w:rPr>
          <w:sz w:val="20"/>
          <w:szCs w:val="20"/>
          <w:color w:val="auto"/>
        </w:rPr>
      </w:pPr>
    </w:p>
    <w:p>
      <w:pPr>
        <w:ind w:left="66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Inputs to the valuation methodology are unobservable and significant to the fair value measurement.</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input that is significant to the entire fair value measurement. Valuation techniques used need to maximize the use of relevant observable inputs and minimize the use of unobservable inputs.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and liabilities measured at fair value. There have been no significant changes in the methodologies used at December 31, 2025 and 2024.</w:t>
      </w:r>
    </w:p>
    <w:p>
      <w:pPr>
        <w:spacing w:after="0" w:line="16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Valued based on the daily closing price as reported by the fund by obtaining quoted prices on nationally recognized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exchanges. The mutual funds held by the Plan are deemed to be actively traded.</w:t>
      </w:r>
    </w:p>
    <w:p>
      <w:pPr>
        <w:spacing w:after="0" w:line="179"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Shares of Roper Technologies, Inc. Common Stock </w:t>
      </w:r>
      <w:r>
        <w:rPr>
          <w:rFonts w:ascii="Times New Roman" w:cs="Times New Roman" w:eastAsia="Times New Roman" w:hAnsi="Times New Roman"/>
          <w:sz w:val="20"/>
          <w:szCs w:val="20"/>
          <w:color w:val="auto"/>
        </w:rPr>
        <w:t>– Valued at the net asset value (“NAV”) of shares held by the Plan at year end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obtaining quoted prices on nationally recognized securities exchanges.</w:t>
      </w:r>
    </w:p>
    <w:p>
      <w:pPr>
        <w:spacing w:after="0" w:line="17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CCTs – </w:t>
      </w:r>
      <w:r>
        <w:rPr>
          <w:rFonts w:ascii="Times New Roman" w:cs="Times New Roman" w:eastAsia="Times New Roman" w:hAnsi="Times New Roman"/>
          <w:sz w:val="20"/>
          <w:szCs w:val="20"/>
          <w:color w:val="auto"/>
        </w:rPr>
        <w:t>Valued at the NAV provided by the fund’s trustee as a practical expedient to estimate fair value. The NAV is based on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The following table sets forth the fair values of the Plan’s investments by asset category as of December 31, 2025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160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142,220</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142,220</w:t>
            </w:r>
          </w:p>
        </w:tc>
        <w:tc>
          <w:tcPr>
            <w:tcW w:w="0" w:type="dxa"/>
            <w:vAlign w:val="bottom"/>
          </w:tcPr>
          <w:p>
            <w:pPr>
              <w:spacing w:after="0"/>
              <w:rPr>
                <w:sz w:val="1"/>
                <w:szCs w:val="1"/>
                <w:color w:val="auto"/>
              </w:rPr>
            </w:pPr>
          </w:p>
        </w:tc>
      </w:tr>
      <w:tr>
        <w:trPr>
          <w:trHeight w:val="25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Roper Technologies, Inc. common stock fund</w:t>
            </w:r>
          </w:p>
        </w:tc>
        <w:tc>
          <w:tcPr>
            <w:tcW w:w="1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20,349</w:t>
            </w: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20,349</w:t>
            </w:r>
          </w:p>
        </w:tc>
        <w:tc>
          <w:tcPr>
            <w:tcW w:w="0" w:type="dxa"/>
            <w:vAlign w:val="bottom"/>
          </w:tcPr>
          <w:p>
            <w:pPr>
              <w:spacing w:after="0"/>
              <w:rPr>
                <w:sz w:val="1"/>
                <w:szCs w:val="1"/>
                <w:color w:val="auto"/>
              </w:rPr>
            </w:pPr>
          </w:p>
        </w:tc>
      </w:tr>
      <w:tr>
        <w:trPr>
          <w:trHeight w:val="275"/>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162,569</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162,569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CCTs*</w:t>
            </w:r>
          </w:p>
        </w:tc>
        <w:tc>
          <w:tcPr>
            <w:tcW w:w="16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1,755,596</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1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1,918,165</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fair values of the Plan’s investments by asset category as of December 31, 2024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160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403,264</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403,264</w:t>
            </w: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Roper Technologies, Inc. common stock fund</w:t>
            </w:r>
          </w:p>
        </w:tc>
        <w:tc>
          <w:tcPr>
            <w:tcW w:w="1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27,632</w:t>
            </w: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27,632</w:t>
            </w:r>
          </w:p>
        </w:tc>
        <w:tc>
          <w:tcPr>
            <w:tcW w:w="0" w:type="dxa"/>
            <w:vAlign w:val="bottom"/>
          </w:tcPr>
          <w:p>
            <w:pPr>
              <w:spacing w:after="0"/>
              <w:rPr>
                <w:sz w:val="1"/>
                <w:szCs w:val="1"/>
                <w:color w:val="auto"/>
              </w:rPr>
            </w:pPr>
          </w:p>
        </w:tc>
      </w:tr>
      <w:tr>
        <w:trPr>
          <w:trHeight w:val="275"/>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430,896</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430,896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CCTs*</w:t>
            </w:r>
          </w:p>
        </w:tc>
        <w:tc>
          <w:tcPr>
            <w:tcW w:w="16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1,136,533</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1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1,567,429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firstLine="8"/>
        <w:spacing w:after="0" w:line="254" w:lineRule="auto"/>
        <w:tabs>
          <w:tab w:leader="none" w:pos="11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FASB ASC Subtopic 820-10, certain investments that were measured at NAV per unit (or its equivalent) have not been classified within the fair value hierarchy. The fair value amounts presented in these tables are intended to permit reconciliation of the fair value hierarchy to the line items presented in the statements of net assets available for benefits.</w:t>
      </w: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There were no significant transfers between Level 1 and Level 2 investments or into or out of Level 3 investments during the years ended December 31, 2025 and 2024.</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investments measured at fair value based on NAV per unit as of December 31, 2025 and 2024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Unfunded</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Redemption Frequency (if</w:t>
            </w:r>
          </w:p>
        </w:tc>
        <w:tc>
          <w:tcPr>
            <w:tcW w:w="1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Redemption Notice</w:t>
            </w:r>
          </w:p>
        </w:tc>
      </w:tr>
      <w:tr>
        <w:trPr>
          <w:trHeight w:val="266"/>
        </w:trPr>
        <w:tc>
          <w:tcPr>
            <w:tcW w:w="2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currently eligible)</w:t>
            </w:r>
          </w:p>
        </w:tc>
        <w:tc>
          <w:tcPr>
            <w:tcW w:w="19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Period</w:t>
            </w:r>
          </w:p>
        </w:tc>
      </w:tr>
      <w:tr>
        <w:trPr>
          <w:trHeight w:val="254"/>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CCT Funds</w:t>
            </w:r>
          </w:p>
        </w:tc>
        <w:tc>
          <w:tcPr>
            <w:tcW w:w="1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1,755,596</w:t>
            </w:r>
          </w:p>
        </w:tc>
        <w:tc>
          <w:tcPr>
            <w:tcW w:w="18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160" w:type="dxa"/>
            <w:vAlign w:val="bottom"/>
            <w:tcBorders>
              <w:top w:val="single" w:sz="8" w:color="CCEEFF"/>
            </w:tcBorders>
            <w:shd w:val="clear" w:color="auto" w:fill="CCEEFF"/>
          </w:tcPr>
          <w:p>
            <w:pPr>
              <w:spacing w:after="0"/>
              <w:rPr>
                <w:sz w:val="22"/>
                <w:szCs w:val="22"/>
                <w:color w:val="auto"/>
              </w:rPr>
            </w:pPr>
          </w:p>
        </w:tc>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c>
          <w:tcPr>
            <w:tcW w:w="16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r>
      <w:tr>
        <w:trPr>
          <w:trHeight w:val="523"/>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r>
      <w:tr>
        <w:trPr>
          <w:trHeight w:val="25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CCT Funds</w:t>
            </w:r>
          </w:p>
        </w:tc>
        <w:tc>
          <w:tcPr>
            <w:tcW w:w="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1,136,533</w:t>
            </w:r>
          </w:p>
        </w:tc>
        <w:tc>
          <w:tcPr>
            <w:tcW w:w="180" w:type="dxa"/>
            <w:vAlign w:val="bottom"/>
            <w:shd w:val="clear" w:color="auto" w:fill="CCEEFF"/>
          </w:tcPr>
          <w:p>
            <w:pPr>
              <w:spacing w:after="0"/>
              <w:rPr>
                <w:sz w:val="22"/>
                <w:szCs w:val="22"/>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Daily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4. RELATED PARTY TRANSACTIONS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Plan investments include shares of mutual funds and units of CCT funds managed by the trustee. The Plan also paid fees for recordkeeping services which are included in the statement of changes in net assets for the year ended December 31, 2025 within administrative expenses. These transactions qualify as party-in-interest, and are exempt from the prohibited transactions rule.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PLAN TERMINATION</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remain 100% vested in their employer contributions.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TAX STATUS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underlying non-standardized pre-approved plan has received an opinion letter from the Internal Revenue Service (“IRS”) dated June 30, 2020, stating that the form of the Plan is qualified under Section 401(a) of the IRC, and therefore, the related trust is tax-exempt. The Plan Administrator has determined that it is eligible to and has chosen to rely on the current IRS non-standardized pre-approved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NON-EXEMPT TRANSACTIONS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2025 Plan year, participant contributions and participant loan repayments totaling $139,647 were remitted late to the Plan in 2025. Subsequently, lost earnings associated with the delays in participant contributions and participant loan repayments were remitted to the Plan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SUBSEQUENT EVENTS</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evaluated subsequent events through June 22, 2026, which is the date the financial statements were available to be issued, and have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SUPPLEMENTARY INFORMATION</w:t>
      </w:r>
    </w:p>
    <w:p>
      <w:pPr>
        <w:sectPr>
          <w:pgSz w:w="11900" w:h="16838" w:orient="portrait"/>
          <w:cols w:equalWidth="0" w:num="1">
            <w:col w:w="11240"/>
          </w:cols>
          <w:pgMar w:left="320" w:top="1409" w:right="339" w:bottom="1440" w:gutter="0" w:footer="0" w:header="0"/>
        </w:sect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ROPER TECHNOLOGIES, INC. EMPLOYEES’ RETIREMENT SAVINGS 004 PLAN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PLAN SPONSOR’S EIN: 51-0263969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PLAN NUMBER: 004</w:t>
      </w:r>
    </w:p>
    <w:p>
      <w:pPr>
        <w:spacing w:after="0" w:line="27" w:lineRule="exact"/>
        <w:rPr>
          <w:sz w:val="20"/>
          <w:szCs w:val="20"/>
          <w:color w:val="auto"/>
        </w:rPr>
      </w:pPr>
    </w:p>
    <w:p>
      <w:pPr>
        <w:ind w:left="20" w:right="1220"/>
        <w:spacing w:after="0" w:line="295" w:lineRule="auto"/>
        <w:rPr>
          <w:sz w:val="20"/>
          <w:szCs w:val="20"/>
          <w:color w:val="auto"/>
        </w:rPr>
      </w:pPr>
      <w:r>
        <w:rPr>
          <w:rFonts w:ascii="Times New Roman" w:cs="Times New Roman" w:eastAsia="Times New Roman" w:hAnsi="Times New Roman"/>
          <w:sz w:val="20"/>
          <w:szCs w:val="20"/>
          <w:b w:val="1"/>
          <w:bCs w:val="1"/>
          <w:color w:val="auto"/>
        </w:rPr>
        <w:t>SCHEDULE H, LINE 4a – SCHEDULE OF DELINQUENT PARTICIPANT CONTRIBUTIONS Year ended December 31,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Participant Contributions Transferred</w:t>
            </w:r>
          </w:p>
        </w:tc>
        <w:tc>
          <w:tcPr>
            <w:tcW w:w="17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Late to Plan</w:t>
            </w:r>
          </w:p>
        </w:tc>
        <w:tc>
          <w:tcPr>
            <w:tcW w:w="6080" w:type="dxa"/>
            <w:vAlign w:val="bottom"/>
            <w:gridSpan w:val="3"/>
          </w:tcPr>
          <w:p>
            <w:pPr>
              <w:ind w:left="580"/>
              <w:spacing w:after="0"/>
              <w:rPr>
                <w:sz w:val="20"/>
                <w:szCs w:val="20"/>
                <w:color w:val="auto"/>
              </w:rPr>
            </w:pPr>
            <w:r>
              <w:rPr>
                <w:rFonts w:ascii="Times New Roman" w:cs="Times New Roman" w:eastAsia="Times New Roman" w:hAnsi="Times New Roman"/>
                <w:sz w:val="20"/>
                <w:szCs w:val="20"/>
                <w:b w:val="1"/>
                <w:bCs w:val="1"/>
                <w:color w:val="auto"/>
              </w:rPr>
              <w:t>Total that Constitutes Nonexempt Prohibited Transactions</w:t>
            </w:r>
          </w:p>
        </w:tc>
        <w:tc>
          <w:tcPr>
            <w:tcW w:w="0" w:type="dxa"/>
            <w:vAlign w:val="bottom"/>
          </w:tcPr>
          <w:p>
            <w:pPr>
              <w:spacing w:after="0"/>
              <w:rPr>
                <w:sz w:val="1"/>
                <w:szCs w:val="1"/>
                <w:color w:val="auto"/>
              </w:rPr>
            </w:pPr>
          </w:p>
        </w:tc>
      </w:tr>
      <w:tr>
        <w:trPr>
          <w:trHeight w:val="294"/>
        </w:trPr>
        <w:tc>
          <w:tcPr>
            <w:tcW w:w="3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Contributions Not</w:t>
            </w:r>
          </w:p>
        </w:tc>
        <w:tc>
          <w:tcPr>
            <w:tcW w:w="1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Contributions</w:t>
            </w:r>
          </w:p>
        </w:tc>
        <w:tc>
          <w:tcPr>
            <w:tcW w:w="2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Check here if Late Participant Loan</w:t>
            </w:r>
          </w:p>
        </w:tc>
        <w:tc>
          <w:tcPr>
            <w:tcW w:w="1700" w:type="dxa"/>
            <w:vAlign w:val="bottom"/>
            <w:vMerge w:val="continue"/>
          </w:tcPr>
          <w:p>
            <w:pPr>
              <w:spacing w:after="0"/>
              <w:rPr>
                <w:sz w:val="17"/>
                <w:szCs w:val="17"/>
                <w:color w:val="auto"/>
              </w:rPr>
            </w:pPr>
          </w:p>
        </w:tc>
        <w:tc>
          <w:tcPr>
            <w:tcW w:w="1860" w:type="dxa"/>
            <w:vAlign w:val="bottom"/>
          </w:tcPr>
          <w:p>
            <w:pPr>
              <w:ind w:left="140"/>
              <w:spacing w:after="0" w:line="203" w:lineRule="exact"/>
              <w:rPr>
                <w:sz w:val="20"/>
                <w:szCs w:val="20"/>
                <w:color w:val="auto"/>
              </w:rPr>
            </w:pPr>
            <w:r>
              <w:rPr>
                <w:rFonts w:ascii="Times New Roman" w:cs="Times New Roman" w:eastAsia="Times New Roman" w:hAnsi="Times New Roman"/>
                <w:sz w:val="20"/>
                <w:szCs w:val="20"/>
                <w:b w:val="1"/>
                <w:bCs w:val="1"/>
                <w:color w:val="auto"/>
              </w:rPr>
              <w:t>Corrected Outside</w:t>
            </w:r>
          </w:p>
        </w:tc>
        <w:tc>
          <w:tcPr>
            <w:tcW w:w="2520" w:type="dxa"/>
            <w:vAlign w:val="bottom"/>
          </w:tcPr>
          <w:p>
            <w:pPr>
              <w:ind w:left="180"/>
              <w:spacing w:after="0" w:line="203" w:lineRule="exact"/>
              <w:rPr>
                <w:sz w:val="20"/>
                <w:szCs w:val="20"/>
                <w:color w:val="auto"/>
              </w:rPr>
            </w:pPr>
            <w:r>
              <w:rPr>
                <w:rFonts w:ascii="Times New Roman" w:cs="Times New Roman" w:eastAsia="Times New Roman" w:hAnsi="Times New Roman"/>
                <w:sz w:val="20"/>
                <w:szCs w:val="20"/>
                <w:b w:val="1"/>
                <w:bCs w:val="1"/>
                <w:color w:val="auto"/>
              </w:rPr>
              <w:t>Contributions Pending</w:t>
            </w:r>
          </w:p>
        </w:tc>
        <w:tc>
          <w:tcPr>
            <w:tcW w:w="0" w:type="dxa"/>
            <w:vAlign w:val="bottom"/>
          </w:tcPr>
          <w:p>
            <w:pPr>
              <w:spacing w:after="0"/>
              <w:rPr>
                <w:sz w:val="1"/>
                <w:szCs w:val="1"/>
                <w:color w:val="auto"/>
              </w:rPr>
            </w:pPr>
          </w:p>
        </w:tc>
      </w:tr>
      <w:tr>
        <w:trPr>
          <w:trHeight w:val="310"/>
        </w:trPr>
        <w:tc>
          <w:tcPr>
            <w:tcW w:w="3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20"/>
                <w:szCs w:val="20"/>
                <w:b w:val="1"/>
                <w:bCs w:val="1"/>
                <w:color w:val="auto"/>
              </w:rPr>
              <w:t xml:space="preserve">Repayments are included: </w:t>
            </w:r>
            <w:r>
              <w:rPr>
                <w:rFonts w:ascii="MS PGothic" w:cs="MS PGothic" w:eastAsia="MS PGothic" w:hAnsi="MS PGothic"/>
                <w:sz w:val="20"/>
                <w:szCs w:val="20"/>
                <w:color w:val="auto"/>
                <w:highlight w:val="black"/>
              </w:rPr>
              <w:t>☒</w:t>
            </w:r>
          </w:p>
        </w:tc>
        <w:tc>
          <w:tcPr>
            <w:tcW w:w="17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Corrected </w:t>
            </w:r>
            <w:r>
              <w:rPr>
                <w:rFonts w:ascii="Times New Roman" w:cs="Times New Roman" w:eastAsia="Times New Roman" w:hAnsi="Times New Roman"/>
                <w:sz w:val="17"/>
                <w:szCs w:val="17"/>
                <w:b w:val="1"/>
                <w:bCs w:val="1"/>
                <w:color w:val="auto"/>
              </w:rPr>
              <w:t>(a)</w:t>
            </w:r>
          </w:p>
        </w:tc>
        <w:tc>
          <w:tcPr>
            <w:tcW w:w="186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VFCP</w:t>
            </w:r>
          </w:p>
        </w:tc>
        <w:tc>
          <w:tcPr>
            <w:tcW w:w="25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Correction in VFCP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9"/>
          <w:szCs w:val="19"/>
          <w:b w:val="1"/>
          <w:bCs w:val="1"/>
          <w:color w:val="auto"/>
        </w:rPr>
        <w:t>Total Fully Corrected Under VFCP and PTE 2002-51</w:t>
      </w:r>
    </w:p>
    <w:p>
      <w:pPr>
        <w:spacing w:after="0" w:line="37" w:lineRule="exact"/>
        <w:rPr>
          <w:sz w:val="20"/>
          <w:szCs w:val="20"/>
          <w:color w:val="auto"/>
        </w:rPr>
      </w:pPr>
    </w:p>
    <w:p>
      <w:pPr>
        <w:sectPr>
          <w:pgSz w:w="11900" w:h="16838" w:orient="portrait"/>
          <w:cols w:equalWidth="0" w:num="2">
            <w:col w:w="9480" w:space="140"/>
            <w:col w:w="1620"/>
          </w:cols>
          <w:pgMar w:left="320" w:top="1409" w:right="339" w:bottom="1440" w:gutter="0" w:footer="0" w:header="0"/>
          <w:type w:val="continuous"/>
        </w:sectPr>
      </w:pPr>
    </w:p>
    <w:p>
      <w:pPr>
        <w:ind w:left="20"/>
        <w:spacing w:after="0"/>
        <w:tabs>
          <w:tab w:leader="none" w:pos="2560" w:val="left"/>
          <w:tab w:leader="none" w:pos="3400" w:val="left"/>
          <w:tab w:leader="none" w:pos="4380" w:val="left"/>
          <w:tab w:leader="none" w:pos="5220" w:val="left"/>
          <w:tab w:leader="none" w:pos="6740" w:val="left"/>
          <w:tab w:leader="none" w:pos="7120" w:val="left"/>
          <w:tab w:leader="none" w:pos="9180" w:val="left"/>
          <w:tab w:leader="none" w:pos="9600" w:val="left"/>
          <w:tab w:leader="none" w:pos="109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139,647</w:t>
        <w:tab/>
        <w:t>$</w:t>
      </w:r>
      <w:r>
        <w:rPr>
          <w:sz w:val="20"/>
          <w:szCs w:val="20"/>
          <w:color w:val="auto"/>
        </w:rPr>
        <w:tab/>
      </w:r>
      <w:r>
        <w:rPr>
          <w:rFonts w:ascii="Times New Roman" w:cs="Times New Roman" w:eastAsia="Times New Roman" w:hAnsi="Times New Roman"/>
          <w:sz w:val="20"/>
          <w:szCs w:val="20"/>
          <w:color w:val="auto"/>
        </w:rPr>
        <w:t>139,647</w:t>
        <w:tab/>
        <w:t>$</w:t>
      </w:r>
      <w:r>
        <w:rPr>
          <w:sz w:val="20"/>
          <w:szCs w:val="20"/>
          <w:color w:val="auto"/>
        </w:rPr>
        <w:tab/>
      </w: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20"/>
          <w:szCs w:val="20"/>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320" w:lineRule="exact"/>
        <w:rPr>
          <w:sz w:val="20"/>
          <w:szCs w:val="20"/>
          <w:color w:val="auto"/>
        </w:rPr>
      </w:pPr>
    </w:p>
    <w:p>
      <w:pPr>
        <w:jc w:val="both"/>
        <w:ind w:firstLine="8"/>
        <w:spacing w:after="0" w:line="266" w:lineRule="auto"/>
        <w:tabs>
          <w:tab w:leader="none" w:pos="2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 participant contributions and late participant loan repayments totaling $139,647 related to the 2025 Plan year were remitted to the Plan from October through November 2025. Lost earnings associated with the delays in participant contributions and participant loan repayments were subsequently remitted to the Plan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13" w:name="page14"/>
    <w:bookmarkEnd w:id="13"/>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ROPER TECHNOLOGIES, INC. EMPLOYEES’ RETIREMENT SAVINGS 004 PLAN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SPONSOR’S EIN: 51-0263969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NUMBER: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 Description of investment including maturity</w:t>
            </w:r>
          </w:p>
        </w:tc>
      </w:tr>
      <w:tr>
        <w:trPr>
          <w:trHeight w:val="189"/>
        </w:trPr>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date, rate of interest, collateral, par, or maturity</w:t>
            </w:r>
          </w:p>
        </w:tc>
      </w:tr>
      <w:tr>
        <w:trPr>
          <w:trHeight w:val="265"/>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 Identify of issue, borrower, lessor, or similar party</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8"/>
        </w:trPr>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10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Cash Reserves Federal MM Fund Admiral Shares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r>
      <w:tr>
        <w:trPr>
          <w:trHeight w:val="225"/>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Emerging Markets Stock Index Fund Institutional</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4100" w:type="dxa"/>
            <w:vAlign w:val="bottom"/>
          </w:tcPr>
          <w:p>
            <w:pPr>
              <w:spacing w:after="0"/>
              <w:rPr>
                <w:sz w:val="20"/>
                <w:szCs w:val="20"/>
                <w:color w:val="auto"/>
              </w:rPr>
            </w:pPr>
          </w:p>
        </w:tc>
      </w:tr>
      <w:tr>
        <w:trPr>
          <w:trHeight w:val="24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Mid-Cap Index Fund Institutional Shares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r>
      <w:tr>
        <w:trPr>
          <w:trHeight w:val="256"/>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Small-Cap Index Fund Institutional Shares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r>
      <w:tr>
        <w:trPr>
          <w:trHeight w:val="225"/>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Total International Bond Index Fund Institutional</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41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mutual funds</w:t>
            </w:r>
          </w:p>
        </w:tc>
        <w:tc>
          <w:tcPr>
            <w:tcW w:w="4100" w:type="dxa"/>
            <w:vAlign w:val="bottom"/>
          </w:tcPr>
          <w:p>
            <w:pPr>
              <w:spacing w:after="0"/>
              <w:rPr>
                <w:sz w:val="21"/>
                <w:szCs w:val="21"/>
                <w:color w:val="auto"/>
              </w:rPr>
            </w:pPr>
          </w:p>
        </w:tc>
      </w:tr>
      <w:tr>
        <w:trPr>
          <w:trHeight w:val="387"/>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Common/Collective Trust Funds</w:t>
            </w:r>
          </w:p>
        </w:tc>
        <w:tc>
          <w:tcPr>
            <w:tcW w:w="4100" w:type="dxa"/>
            <w:vAlign w:val="bottom"/>
          </w:tcPr>
          <w:p>
            <w:pPr>
              <w:spacing w:after="0"/>
              <w:rPr>
                <w:sz w:val="24"/>
                <w:szCs w:val="24"/>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Retirement Savings Trust III</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Developed Markets Index Trust D</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Institutional 500 Index Trust D</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Institutional Total Bond Market Index Trust D</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52"/>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and Growth Trust Plus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w:t>
            </w:r>
          </w:p>
        </w:tc>
      </w:tr>
      <w:tr>
        <w:trPr>
          <w:trHeight w:val="256"/>
        </w:trPr>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common/collective trust funds</w:t>
            </w:r>
          </w:p>
        </w:tc>
        <w:tc>
          <w:tcPr>
            <w:tcW w:w="4100" w:type="dxa"/>
            <w:vAlign w:val="bottom"/>
          </w:tcPr>
          <w:p>
            <w:pPr>
              <w:spacing w:after="0"/>
              <w:rPr>
                <w:sz w:val="22"/>
                <w:szCs w:val="22"/>
                <w:color w:val="auto"/>
              </w:rPr>
            </w:pPr>
          </w:p>
        </w:tc>
      </w:tr>
      <w:tr>
        <w:trPr>
          <w:trHeight w:val="238"/>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Roper Technologies Common Stock</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34"/>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 ranging from 3.25% to 9.50%</w:t>
            </w:r>
          </w:p>
        </w:tc>
      </w:tr>
      <w:tr>
        <w:trPr>
          <w:trHeight w:val="527"/>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Indicates party-in-interest</w:t>
            </w: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-4131310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-2854325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-2545715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-1962785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-4893945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Current value</w:t>
      </w:r>
    </w:p>
    <w:p>
      <w:pPr>
        <w:spacing w:after="0" w:line="297" w:lineRule="exact"/>
        <w:rPr>
          <w:sz w:val="20"/>
          <w:szCs w:val="20"/>
          <w:color w:val="auto"/>
        </w:rPr>
      </w:pPr>
    </w:p>
    <w:p>
      <w:pPr>
        <w:ind w:left="1080" w:hanging="1077"/>
        <w:spacing w:after="0"/>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756,422</w:t>
      </w:r>
    </w:p>
    <w:p>
      <w:pPr>
        <w:spacing w:after="0" w:line="61"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28,181,253</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70,625,339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35,102,658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7,553,927</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142,219,599</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30,901,422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56,693,366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233,332,226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51,841,907</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37,065,174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98,356,757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179,885,144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216,872,541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208,083,327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204,232,543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184,713,548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144,429,691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72,870,559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17,891,103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1,869,068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15,409,140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1,149,014</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1,755,596,530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20,349,153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14,737,554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1144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8" w:lineRule="exact"/>
        <w:rPr>
          <w:sz w:val="20"/>
          <w:szCs w:val="20"/>
          <w:color w:val="auto"/>
        </w:rPr>
      </w:pPr>
    </w:p>
    <w:p>
      <w:pPr>
        <w:ind w:left="640" w:hanging="637"/>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1,932,902,836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1114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50165</wp:posOffset>
            </wp:positionV>
            <wp:extent cx="11144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9400" w:space="100"/>
            <w:col w:w="16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The Plan</w:t>
      </w:r>
      <w:r>
        <w:rPr>
          <w:rFonts w:ascii="Times New Roman" w:cs="Times New Roman" w:eastAsia="Times New Roman" w:hAnsi="Times New Roman"/>
          <w:sz w:val="20"/>
          <w:szCs w:val="20"/>
          <w:color w:val="auto"/>
        </w:rPr>
        <w:t>. 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2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Roper Technologies, Inc.</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EMPLOYEES’ RETIREMENT SAVINGS 004 PLAN</w:t>
      </w:r>
    </w:p>
    <w:p>
      <w:pPr>
        <w:spacing w:after="0" w:line="275" w:lineRule="exact"/>
        <w:rPr>
          <w:sz w:val="20"/>
          <w:szCs w:val="20"/>
          <w:color w:val="auto"/>
        </w:rPr>
      </w:pPr>
    </w:p>
    <w:p>
      <w:pPr>
        <w:ind w:left="600"/>
        <w:spacing w:after="0"/>
        <w:tabs>
          <w:tab w:leader="none" w:pos="1220" w:val="left"/>
          <w:tab w:leader="none" w:pos="84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Brandon Cross</w:t>
      </w:r>
      <w:r>
        <w:rPr>
          <w:sz w:val="20"/>
          <w:szCs w:val="20"/>
          <w:color w:val="auto"/>
        </w:rPr>
        <w:tab/>
      </w:r>
      <w:r>
        <w:rPr>
          <w:rFonts w:ascii="Times New Roman" w:cs="Times New Roman" w:eastAsia="Times New Roman" w:hAnsi="Times New Roman"/>
          <w:sz w:val="19"/>
          <w:szCs w:val="19"/>
          <w:color w:val="auto"/>
        </w:rPr>
        <w:t>Date: June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22860</wp:posOffset>
            </wp:positionV>
            <wp:extent cx="4286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Brandon Cross, Vice President and Chief Accounting Officer</w:t>
      </w:r>
    </w:p>
    <w:p>
      <w:pPr>
        <w:spacing w:after="0" w:line="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62"/>
        </w:trPr>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20" w:type="dxa"/>
            <w:vAlign w:val="bottom"/>
            <w:gridSpan w:val="2"/>
          </w:tcPr>
          <w:p>
            <w:pPr>
              <w:ind w:left="242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30"/>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r>
      <w:tr>
        <w:trPr>
          <w:trHeight w:val="200"/>
        </w:trPr>
        <w:tc>
          <w:tcPr>
            <w:tcW w:w="224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23.1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0000FF"/>
              </w:rPr>
              <w:t>Consent of Warren Averett, LLC</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consent to the incorporation by reference in Registration Statement No. 333-36897 on Form S-8 of our report dated June 22, 2026, appearing in this Annual Report on Form 11-K of the Roper Technologies, Inc. Employees’ Retirement Savings 004 Plan for the year ended December 31,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Warren Averett,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22, 2026</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2026-06-22T16:48:46Z</dcterms:created>
  <dcterms:modified xsi:type="dcterms:W3CDTF">2026-06-22T16:48:46Z</dcterms:modified>
</cp:coreProperties>
</file>